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72D7D">
      <w:pPr>
        <w:snapToGrid w:val="0"/>
        <w:ind w:firstLine="0" w:firstLineChars="0"/>
        <w:jc w:val="center"/>
        <w:rPr>
          <w:rFonts w:ascii="方正小标宋简体" w:hAnsi="仿宋_GB2312" w:eastAsia="方正小标宋简体" w:cs="仿宋_GB2312"/>
          <w:sz w:val="44"/>
          <w:szCs w:val="32"/>
        </w:rPr>
      </w:pPr>
      <w:r>
        <w:rPr>
          <w:rFonts w:hint="eastAsia" w:ascii="方正小标宋简体" w:hAnsi="仿宋_GB2312" w:eastAsia="方正小标宋简体" w:cs="仿宋_GB2312"/>
          <w:sz w:val="44"/>
          <w:szCs w:val="32"/>
        </w:rPr>
        <w:t>团体标准《新茶饮用茶  茉莉花绿茶》</w:t>
      </w:r>
    </w:p>
    <w:p w14:paraId="181439F8">
      <w:pPr>
        <w:snapToGrid w:val="0"/>
        <w:ind w:firstLine="0" w:firstLineChars="0"/>
        <w:jc w:val="center"/>
        <w:rPr>
          <w:rFonts w:ascii="方正小标宋简体" w:hAnsi="仿宋_GB2312" w:eastAsia="方正小标宋简体" w:cs="仿宋_GB2312"/>
          <w:sz w:val="44"/>
          <w:szCs w:val="32"/>
        </w:rPr>
      </w:pPr>
      <w:r>
        <w:rPr>
          <w:rFonts w:hint="eastAsia" w:ascii="方正小标宋简体" w:hAnsi="仿宋_GB2312" w:eastAsia="方正小标宋简体" w:cs="仿宋_GB2312"/>
          <w:sz w:val="44"/>
          <w:szCs w:val="32"/>
        </w:rPr>
        <w:t>（征求意见稿）编制说明</w:t>
      </w:r>
    </w:p>
    <w:p w14:paraId="373535E9">
      <w:pPr>
        <w:snapToGrid w:val="0"/>
        <w:ind w:firstLine="0" w:firstLineChars="0"/>
        <w:jc w:val="center"/>
        <w:rPr>
          <w:rFonts w:ascii="方正小标宋简体" w:hAnsi="仿宋_GB2312" w:eastAsia="方正小标宋简体" w:cs="仿宋_GB2312"/>
          <w:sz w:val="44"/>
          <w:szCs w:val="32"/>
        </w:rPr>
      </w:pPr>
    </w:p>
    <w:p w14:paraId="7ABC05EA">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460339C8">
      <w:pPr>
        <w:ind w:firstLine="640"/>
        <w:rPr>
          <w:color w:val="000000"/>
        </w:rPr>
      </w:pPr>
      <w:r>
        <w:rPr>
          <w:rFonts w:hint="eastAsia" w:ascii="仿宋_GB2312" w:hAnsi="仿宋_GB2312" w:cs="仿宋_GB2312"/>
          <w:szCs w:val="28"/>
        </w:rPr>
        <w:t>根据《广西标准化协会关于下达2026年第一批团体标准制修订项目计划的通知》（桂标协〔2026〕172号）文件精神，由</w:t>
      </w:r>
      <w:r>
        <w:rPr>
          <w:rFonts w:hint="eastAsia"/>
          <w:color w:val="000000"/>
        </w:rPr>
        <w:t>广西茶叶流通协会、广西标准化协会</w:t>
      </w:r>
      <w:r>
        <w:rPr>
          <w:rFonts w:hint="eastAsia" w:ascii="仿宋_GB2312" w:hAnsi="仿宋_GB2312" w:cs="仿宋_GB2312"/>
          <w:szCs w:val="28"/>
        </w:rPr>
        <w:t>提出，</w:t>
      </w:r>
      <w:r>
        <w:rPr>
          <w:rFonts w:hint="eastAsia"/>
          <w:color w:val="000000"/>
        </w:rPr>
        <w:t>广西标准化协会、广西茶叶流通协会、茶姬(上海)品牌管理有限公司、广西茶姬企业管理有限公司、广西南亚热带农业科学研究所、广西绿异茶树良种研究院、广西大学、横县南方茶厂、广西金花茶业有限公司、广西香茹怡莱茶业有限公司</w:t>
      </w:r>
      <w:r>
        <w:rPr>
          <w:rFonts w:hint="eastAsia" w:ascii="仿宋_GB2312" w:hAnsi="仿宋_GB2312" w:cs="仿宋_GB2312"/>
          <w:szCs w:val="28"/>
        </w:rPr>
        <w:t>等单位共同起草的团体标准《新茶饮用茶  茉莉花绿茶》（项目编号：2026-0103），已获立项。</w:t>
      </w:r>
    </w:p>
    <w:p w14:paraId="16BD0C45">
      <w:pPr>
        <w:ind w:firstLine="640"/>
        <w:rPr>
          <w:rFonts w:ascii="仿宋_GB2312" w:hAnsi="仿宋_GB2312" w:cs="仿宋_GB2312"/>
          <w:szCs w:val="28"/>
        </w:rPr>
      </w:pPr>
      <w:r>
        <w:rPr>
          <w:rFonts w:hint="eastAsia" w:ascii="仿宋_GB2312" w:hAnsi="仿宋_GB2312" w:cs="仿宋_GB2312"/>
          <w:szCs w:val="28"/>
        </w:rPr>
        <w:t>为高质量编制团体标准《新茶饮用茶  茉莉花绿茶》，由起草单位成立标准编制工作组并进行如下分工：</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959"/>
        <w:gridCol w:w="1356"/>
        <w:gridCol w:w="1464"/>
        <w:gridCol w:w="3126"/>
      </w:tblGrid>
      <w:tr w14:paraId="4DFA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733BC76C">
            <w:pPr>
              <w:ind w:firstLine="0" w:firstLineChars="0"/>
              <w:jc w:val="center"/>
              <w:rPr>
                <w:b/>
                <w:bCs/>
                <w:sz w:val="24"/>
              </w:rPr>
            </w:pPr>
            <w:r>
              <w:rPr>
                <w:b/>
                <w:bCs/>
                <w:sz w:val="24"/>
              </w:rPr>
              <w:t>姓名</w:t>
            </w:r>
          </w:p>
        </w:tc>
        <w:tc>
          <w:tcPr>
            <w:tcW w:w="1068" w:type="pct"/>
            <w:vAlign w:val="center"/>
          </w:tcPr>
          <w:p w14:paraId="61C4E1F3">
            <w:pPr>
              <w:ind w:firstLine="0" w:firstLineChars="0"/>
              <w:jc w:val="center"/>
              <w:rPr>
                <w:b/>
                <w:bCs/>
                <w:sz w:val="24"/>
              </w:rPr>
            </w:pPr>
            <w:r>
              <w:rPr>
                <w:b/>
                <w:bCs/>
                <w:sz w:val="24"/>
              </w:rPr>
              <w:t>单位</w:t>
            </w:r>
          </w:p>
        </w:tc>
        <w:tc>
          <w:tcPr>
            <w:tcW w:w="739" w:type="pct"/>
            <w:vAlign w:val="center"/>
          </w:tcPr>
          <w:p w14:paraId="450FEFC1">
            <w:pPr>
              <w:ind w:firstLine="0" w:firstLineChars="0"/>
              <w:jc w:val="center"/>
              <w:rPr>
                <w:b/>
                <w:bCs/>
                <w:sz w:val="24"/>
              </w:rPr>
            </w:pPr>
            <w:r>
              <w:rPr>
                <w:b/>
                <w:bCs/>
                <w:sz w:val="24"/>
              </w:rPr>
              <w:t>专业</w:t>
            </w:r>
          </w:p>
        </w:tc>
        <w:tc>
          <w:tcPr>
            <w:tcW w:w="798" w:type="pct"/>
            <w:vAlign w:val="center"/>
          </w:tcPr>
          <w:p w14:paraId="0027497D">
            <w:pPr>
              <w:ind w:firstLine="0" w:firstLineChars="0"/>
              <w:jc w:val="center"/>
              <w:rPr>
                <w:b/>
                <w:bCs/>
                <w:sz w:val="24"/>
              </w:rPr>
            </w:pPr>
            <w:r>
              <w:rPr>
                <w:b/>
                <w:bCs/>
                <w:sz w:val="24"/>
              </w:rPr>
              <w:t>职务/职称</w:t>
            </w:r>
          </w:p>
        </w:tc>
        <w:tc>
          <w:tcPr>
            <w:tcW w:w="1704" w:type="pct"/>
            <w:vAlign w:val="center"/>
          </w:tcPr>
          <w:p w14:paraId="2530FBC2">
            <w:pPr>
              <w:ind w:firstLine="0" w:firstLineChars="0"/>
              <w:jc w:val="center"/>
              <w:rPr>
                <w:b/>
                <w:bCs/>
                <w:sz w:val="24"/>
              </w:rPr>
            </w:pPr>
            <w:r>
              <w:rPr>
                <w:b/>
                <w:bCs/>
                <w:sz w:val="24"/>
              </w:rPr>
              <w:t>参与编制标准分工情况</w:t>
            </w:r>
          </w:p>
        </w:tc>
      </w:tr>
      <w:tr w14:paraId="2005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0DACBA45">
            <w:pPr>
              <w:ind w:firstLine="0" w:firstLineChars="0"/>
              <w:jc w:val="center"/>
              <w:rPr>
                <w:sz w:val="24"/>
              </w:rPr>
            </w:pPr>
            <w:r>
              <w:rPr>
                <w:sz w:val="24"/>
              </w:rPr>
              <w:t>黄林华</w:t>
            </w:r>
          </w:p>
        </w:tc>
        <w:tc>
          <w:tcPr>
            <w:tcW w:w="1068" w:type="pct"/>
            <w:vAlign w:val="center"/>
          </w:tcPr>
          <w:p w14:paraId="430FDEB1">
            <w:pPr>
              <w:ind w:firstLine="0" w:firstLineChars="0"/>
              <w:jc w:val="left"/>
              <w:rPr>
                <w:bCs/>
                <w:sz w:val="24"/>
              </w:rPr>
            </w:pPr>
            <w:r>
              <w:rPr>
                <w:bCs/>
                <w:sz w:val="24"/>
              </w:rPr>
              <w:t>广西标准化协会</w:t>
            </w:r>
          </w:p>
        </w:tc>
        <w:tc>
          <w:tcPr>
            <w:tcW w:w="739" w:type="pct"/>
            <w:vAlign w:val="center"/>
          </w:tcPr>
          <w:p w14:paraId="7DBA9461">
            <w:pPr>
              <w:ind w:firstLine="0" w:firstLineChars="0"/>
              <w:jc w:val="center"/>
              <w:rPr>
                <w:bCs/>
                <w:sz w:val="24"/>
              </w:rPr>
            </w:pPr>
            <w:r>
              <w:rPr>
                <w:bCs/>
                <w:sz w:val="24"/>
              </w:rPr>
              <w:t>标准化</w:t>
            </w:r>
          </w:p>
        </w:tc>
        <w:tc>
          <w:tcPr>
            <w:tcW w:w="798" w:type="pct"/>
            <w:vAlign w:val="center"/>
          </w:tcPr>
          <w:p w14:paraId="3760A4AB">
            <w:pPr>
              <w:ind w:firstLine="0" w:firstLineChars="0"/>
              <w:jc w:val="center"/>
              <w:rPr>
                <w:bCs/>
                <w:sz w:val="24"/>
              </w:rPr>
            </w:pPr>
            <w:r>
              <w:rPr>
                <w:color w:val="000000"/>
                <w:sz w:val="24"/>
                <w:shd w:val="clear" w:color="auto" w:fill="FFFFFF"/>
              </w:rPr>
              <w:t>秘书长/高级工程师</w:t>
            </w:r>
          </w:p>
        </w:tc>
        <w:tc>
          <w:tcPr>
            <w:tcW w:w="1704" w:type="pct"/>
            <w:vAlign w:val="center"/>
          </w:tcPr>
          <w:p w14:paraId="47203EB2">
            <w:pPr>
              <w:ind w:firstLine="0" w:firstLineChars="0"/>
              <w:rPr>
                <w:rFonts w:ascii="仿宋_GB2312"/>
                <w:color w:val="000000"/>
                <w:sz w:val="24"/>
              </w:rPr>
            </w:pPr>
            <w:r>
              <w:rPr>
                <w:rFonts w:hint="eastAsia" w:ascii="仿宋_GB2312"/>
                <w:color w:val="000000"/>
                <w:sz w:val="24"/>
              </w:rPr>
              <w:t>统筹主持标准编制工作</w:t>
            </w:r>
          </w:p>
        </w:tc>
      </w:tr>
      <w:tr w14:paraId="638A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79AA13B7">
            <w:pPr>
              <w:ind w:firstLine="0" w:firstLineChars="0"/>
              <w:jc w:val="center"/>
              <w:rPr>
                <w:sz w:val="24"/>
              </w:rPr>
            </w:pPr>
            <w:r>
              <w:rPr>
                <w:rFonts w:hint="eastAsia"/>
                <w:sz w:val="24"/>
              </w:rPr>
              <w:t>蓝冬丽</w:t>
            </w:r>
          </w:p>
        </w:tc>
        <w:tc>
          <w:tcPr>
            <w:tcW w:w="1068" w:type="pct"/>
            <w:vAlign w:val="center"/>
          </w:tcPr>
          <w:p w14:paraId="2E723EA7">
            <w:pPr>
              <w:ind w:firstLine="0" w:firstLineChars="0"/>
              <w:jc w:val="left"/>
              <w:rPr>
                <w:bCs/>
                <w:sz w:val="24"/>
              </w:rPr>
            </w:pPr>
            <w:r>
              <w:rPr>
                <w:bCs/>
                <w:sz w:val="24"/>
              </w:rPr>
              <w:t>广西标准化协会</w:t>
            </w:r>
          </w:p>
        </w:tc>
        <w:tc>
          <w:tcPr>
            <w:tcW w:w="739" w:type="pct"/>
            <w:vAlign w:val="center"/>
          </w:tcPr>
          <w:p w14:paraId="0BFAED08">
            <w:pPr>
              <w:ind w:firstLine="0" w:firstLineChars="0"/>
              <w:jc w:val="center"/>
              <w:rPr>
                <w:bCs/>
                <w:sz w:val="24"/>
              </w:rPr>
            </w:pPr>
            <w:r>
              <w:rPr>
                <w:bCs/>
                <w:sz w:val="24"/>
              </w:rPr>
              <w:t>标准化</w:t>
            </w:r>
          </w:p>
        </w:tc>
        <w:tc>
          <w:tcPr>
            <w:tcW w:w="798" w:type="pct"/>
            <w:vAlign w:val="center"/>
          </w:tcPr>
          <w:p w14:paraId="375C7302">
            <w:pPr>
              <w:ind w:firstLine="0" w:firstLineChars="0"/>
              <w:jc w:val="center"/>
              <w:rPr>
                <w:bCs/>
                <w:sz w:val="24"/>
              </w:rPr>
            </w:pPr>
            <w:r>
              <w:rPr>
                <w:rFonts w:hint="eastAsia"/>
                <w:color w:val="000000"/>
                <w:sz w:val="24"/>
                <w:shd w:val="clear" w:color="auto" w:fill="FFFFFF"/>
              </w:rPr>
              <w:t>副</w:t>
            </w:r>
            <w:r>
              <w:rPr>
                <w:color w:val="000000"/>
                <w:sz w:val="24"/>
                <w:shd w:val="clear" w:color="auto" w:fill="FFFFFF"/>
              </w:rPr>
              <w:t>秘书长</w:t>
            </w:r>
          </w:p>
        </w:tc>
        <w:tc>
          <w:tcPr>
            <w:tcW w:w="1704" w:type="pct"/>
            <w:vAlign w:val="center"/>
          </w:tcPr>
          <w:p w14:paraId="35D887FB">
            <w:pPr>
              <w:ind w:firstLine="0" w:firstLineChars="0"/>
              <w:rPr>
                <w:rFonts w:hint="eastAsia" w:ascii="仿宋_GB2312"/>
                <w:color w:val="000000"/>
                <w:sz w:val="24"/>
              </w:rPr>
            </w:pPr>
            <w:r>
              <w:rPr>
                <w:rFonts w:hint="eastAsia" w:ascii="仿宋_GB2312"/>
                <w:color w:val="000000"/>
                <w:sz w:val="24"/>
              </w:rPr>
              <w:t>参与标准编制工作，组织人员进行标准发布后的宣贯培训。</w:t>
            </w:r>
          </w:p>
        </w:tc>
      </w:tr>
      <w:tr w14:paraId="3E0F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387887A4">
            <w:pPr>
              <w:ind w:firstLine="0" w:firstLineChars="0"/>
              <w:jc w:val="center"/>
              <w:rPr>
                <w:sz w:val="24"/>
              </w:rPr>
            </w:pPr>
            <w:r>
              <w:rPr>
                <w:sz w:val="24"/>
              </w:rPr>
              <w:t>韦映梅</w:t>
            </w:r>
          </w:p>
        </w:tc>
        <w:tc>
          <w:tcPr>
            <w:tcW w:w="1068" w:type="pct"/>
            <w:vAlign w:val="center"/>
          </w:tcPr>
          <w:p w14:paraId="7A7DCE82">
            <w:pPr>
              <w:ind w:firstLine="0" w:firstLineChars="0"/>
              <w:jc w:val="left"/>
              <w:rPr>
                <w:bCs/>
                <w:sz w:val="24"/>
              </w:rPr>
            </w:pPr>
            <w:r>
              <w:rPr>
                <w:bCs/>
                <w:sz w:val="24"/>
              </w:rPr>
              <w:t>广西标准化协会</w:t>
            </w:r>
          </w:p>
        </w:tc>
        <w:tc>
          <w:tcPr>
            <w:tcW w:w="739" w:type="pct"/>
          </w:tcPr>
          <w:p w14:paraId="68FFE906">
            <w:pPr>
              <w:ind w:firstLine="0" w:firstLineChars="0"/>
              <w:jc w:val="center"/>
              <w:rPr>
                <w:bCs/>
                <w:sz w:val="24"/>
              </w:rPr>
            </w:pPr>
            <w:r>
              <w:rPr>
                <w:bCs/>
                <w:sz w:val="24"/>
              </w:rPr>
              <w:t>标准化</w:t>
            </w:r>
          </w:p>
        </w:tc>
        <w:tc>
          <w:tcPr>
            <w:tcW w:w="798" w:type="pct"/>
            <w:vAlign w:val="center"/>
          </w:tcPr>
          <w:p w14:paraId="53732895">
            <w:pPr>
              <w:ind w:firstLine="0" w:firstLineChars="0"/>
              <w:jc w:val="center"/>
              <w:rPr>
                <w:bCs/>
                <w:sz w:val="24"/>
              </w:rPr>
            </w:pPr>
            <w:r>
              <w:rPr>
                <w:bCs/>
                <w:sz w:val="24"/>
              </w:rPr>
              <w:t>工程师</w:t>
            </w:r>
          </w:p>
        </w:tc>
        <w:tc>
          <w:tcPr>
            <w:tcW w:w="1704" w:type="pct"/>
            <w:vAlign w:val="center"/>
          </w:tcPr>
          <w:p w14:paraId="169315E9">
            <w:pPr>
              <w:ind w:firstLine="0" w:firstLineChars="0"/>
              <w:rPr>
                <w:rFonts w:ascii="仿宋_GB2312"/>
                <w:color w:val="000000"/>
                <w:sz w:val="24"/>
              </w:rPr>
            </w:pPr>
            <w:r>
              <w:rPr>
                <w:rFonts w:hint="eastAsia" w:ascii="仿宋_GB2312"/>
                <w:color w:val="000000"/>
                <w:sz w:val="24"/>
              </w:rPr>
              <w:t>参与标准文本及编制说明编写，质量控制。</w:t>
            </w:r>
          </w:p>
        </w:tc>
      </w:tr>
      <w:tr w14:paraId="0275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39ED0197">
            <w:pPr>
              <w:ind w:firstLine="0" w:firstLineChars="0"/>
              <w:jc w:val="center"/>
              <w:rPr>
                <w:sz w:val="24"/>
              </w:rPr>
            </w:pPr>
            <w:r>
              <w:rPr>
                <w:sz w:val="24"/>
              </w:rPr>
              <w:t>罗振平</w:t>
            </w:r>
          </w:p>
        </w:tc>
        <w:tc>
          <w:tcPr>
            <w:tcW w:w="1068" w:type="pct"/>
            <w:vAlign w:val="center"/>
          </w:tcPr>
          <w:p w14:paraId="074BE410">
            <w:pPr>
              <w:ind w:firstLine="0" w:firstLineChars="0"/>
              <w:jc w:val="left"/>
              <w:rPr>
                <w:bCs/>
                <w:sz w:val="24"/>
              </w:rPr>
            </w:pPr>
            <w:r>
              <w:rPr>
                <w:bCs/>
                <w:sz w:val="24"/>
              </w:rPr>
              <w:t>广西茶叶流通协会</w:t>
            </w:r>
          </w:p>
        </w:tc>
        <w:tc>
          <w:tcPr>
            <w:tcW w:w="739" w:type="pct"/>
            <w:vAlign w:val="center"/>
          </w:tcPr>
          <w:p w14:paraId="682163E9">
            <w:pPr>
              <w:ind w:firstLine="0" w:firstLineChars="0"/>
              <w:jc w:val="center"/>
              <w:rPr>
                <w:bCs/>
                <w:sz w:val="24"/>
              </w:rPr>
            </w:pPr>
            <w:r>
              <w:rPr>
                <w:bCs/>
                <w:sz w:val="24"/>
              </w:rPr>
              <w:t>茶叶流通</w:t>
            </w:r>
          </w:p>
        </w:tc>
        <w:tc>
          <w:tcPr>
            <w:tcW w:w="798" w:type="pct"/>
            <w:vAlign w:val="center"/>
          </w:tcPr>
          <w:p w14:paraId="7E1F13AA">
            <w:pPr>
              <w:ind w:firstLine="0" w:firstLineChars="0"/>
              <w:jc w:val="center"/>
              <w:rPr>
                <w:bCs/>
                <w:sz w:val="24"/>
              </w:rPr>
            </w:pPr>
            <w:r>
              <w:rPr>
                <w:bCs/>
                <w:sz w:val="24"/>
              </w:rPr>
              <w:t>会长</w:t>
            </w:r>
          </w:p>
        </w:tc>
        <w:tc>
          <w:tcPr>
            <w:tcW w:w="1704" w:type="pct"/>
            <w:vAlign w:val="center"/>
          </w:tcPr>
          <w:p w14:paraId="1B9BB368">
            <w:pPr>
              <w:ind w:firstLine="0" w:firstLineChars="0"/>
              <w:rPr>
                <w:rFonts w:ascii="仿宋_GB2312"/>
                <w:color w:val="000000"/>
                <w:sz w:val="24"/>
              </w:rPr>
            </w:pPr>
            <w:r>
              <w:rPr>
                <w:rFonts w:hint="eastAsia" w:ascii="仿宋_GB2312"/>
                <w:color w:val="000000"/>
                <w:sz w:val="24"/>
              </w:rPr>
              <w:t>参与标准编制工作，组织人员进行标准发布后的宣贯培训。</w:t>
            </w:r>
          </w:p>
        </w:tc>
      </w:tr>
      <w:tr w14:paraId="1F95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7ADC522E">
            <w:pPr>
              <w:ind w:firstLine="0" w:firstLineChars="0"/>
              <w:jc w:val="center"/>
              <w:rPr>
                <w:sz w:val="24"/>
              </w:rPr>
            </w:pPr>
            <w:r>
              <w:rPr>
                <w:sz w:val="24"/>
              </w:rPr>
              <w:t>赖碧云</w:t>
            </w:r>
          </w:p>
        </w:tc>
        <w:tc>
          <w:tcPr>
            <w:tcW w:w="1068" w:type="pct"/>
            <w:vAlign w:val="center"/>
          </w:tcPr>
          <w:p w14:paraId="733F6BF9">
            <w:pPr>
              <w:ind w:firstLine="0" w:firstLineChars="0"/>
              <w:jc w:val="left"/>
              <w:rPr>
                <w:bCs/>
                <w:sz w:val="24"/>
              </w:rPr>
            </w:pPr>
            <w:r>
              <w:rPr>
                <w:bCs/>
                <w:sz w:val="24"/>
              </w:rPr>
              <w:t>广西香茹怡茉茶业有限公司</w:t>
            </w:r>
          </w:p>
        </w:tc>
        <w:tc>
          <w:tcPr>
            <w:tcW w:w="739" w:type="pct"/>
            <w:vAlign w:val="center"/>
          </w:tcPr>
          <w:p w14:paraId="25DA1ACB">
            <w:pPr>
              <w:ind w:firstLine="0" w:firstLineChars="0"/>
              <w:jc w:val="center"/>
              <w:rPr>
                <w:bCs/>
                <w:sz w:val="24"/>
              </w:rPr>
            </w:pPr>
            <w:r>
              <w:rPr>
                <w:bCs/>
                <w:sz w:val="24"/>
              </w:rPr>
              <w:t>茶饮</w:t>
            </w:r>
          </w:p>
        </w:tc>
        <w:tc>
          <w:tcPr>
            <w:tcW w:w="798" w:type="pct"/>
            <w:vAlign w:val="center"/>
          </w:tcPr>
          <w:p w14:paraId="587FD1E0">
            <w:pPr>
              <w:spacing w:line="440" w:lineRule="exact"/>
              <w:ind w:firstLine="0" w:firstLineChars="0"/>
              <w:jc w:val="center"/>
              <w:rPr>
                <w:color w:val="000000"/>
                <w:sz w:val="24"/>
                <w:shd w:val="clear" w:color="auto" w:fill="FFFFFF"/>
              </w:rPr>
            </w:pPr>
            <w:r>
              <w:rPr>
                <w:color w:val="000000"/>
                <w:sz w:val="24"/>
                <w:shd w:val="clear" w:color="auto" w:fill="FFFFFF"/>
              </w:rPr>
              <w:t>研发总监</w:t>
            </w:r>
          </w:p>
        </w:tc>
        <w:tc>
          <w:tcPr>
            <w:tcW w:w="1704" w:type="pct"/>
          </w:tcPr>
          <w:p w14:paraId="07890F5B">
            <w:pPr>
              <w:ind w:firstLine="0" w:firstLineChars="0"/>
              <w:rPr>
                <w:color w:val="000000"/>
                <w:szCs w:val="32"/>
              </w:rPr>
            </w:pPr>
            <w:r>
              <w:rPr>
                <w:rFonts w:hint="eastAsia" w:ascii="仿宋_GB2312"/>
                <w:color w:val="000000"/>
                <w:sz w:val="24"/>
              </w:rPr>
              <w:t>提供产品检测数据，不断对标准提出修正意见。</w:t>
            </w:r>
          </w:p>
        </w:tc>
      </w:tr>
      <w:tr w14:paraId="292F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1BAC97E5">
            <w:pPr>
              <w:ind w:firstLine="0" w:firstLineChars="0"/>
              <w:jc w:val="center"/>
              <w:rPr>
                <w:sz w:val="24"/>
              </w:rPr>
            </w:pPr>
            <w:r>
              <w:rPr>
                <w:rFonts w:hint="eastAsia"/>
                <w:sz w:val="24"/>
              </w:rPr>
              <w:t>雷蕾</w:t>
            </w:r>
          </w:p>
        </w:tc>
        <w:tc>
          <w:tcPr>
            <w:tcW w:w="1068" w:type="pct"/>
            <w:vAlign w:val="center"/>
          </w:tcPr>
          <w:p w14:paraId="04DF4948">
            <w:pPr>
              <w:ind w:firstLine="0" w:firstLineChars="0"/>
              <w:jc w:val="left"/>
              <w:rPr>
                <w:bCs/>
                <w:sz w:val="24"/>
              </w:rPr>
            </w:pPr>
            <w:r>
              <w:rPr>
                <w:bCs/>
                <w:sz w:val="24"/>
              </w:rPr>
              <w:t>横州市综合检验检测中心</w:t>
            </w:r>
          </w:p>
        </w:tc>
        <w:tc>
          <w:tcPr>
            <w:tcW w:w="739" w:type="pct"/>
            <w:vAlign w:val="center"/>
          </w:tcPr>
          <w:p w14:paraId="4F510E27">
            <w:pPr>
              <w:ind w:firstLine="0" w:firstLineChars="0"/>
              <w:jc w:val="center"/>
              <w:rPr>
                <w:bCs/>
                <w:sz w:val="24"/>
              </w:rPr>
            </w:pPr>
            <w:r>
              <w:rPr>
                <w:bCs/>
                <w:sz w:val="24"/>
              </w:rPr>
              <w:t>检验检测</w:t>
            </w:r>
          </w:p>
        </w:tc>
        <w:tc>
          <w:tcPr>
            <w:tcW w:w="798" w:type="pct"/>
            <w:vAlign w:val="center"/>
          </w:tcPr>
          <w:p w14:paraId="73315DEB">
            <w:pPr>
              <w:ind w:firstLine="0" w:firstLineChars="0"/>
              <w:jc w:val="center"/>
              <w:rPr>
                <w:color w:val="000000"/>
                <w:sz w:val="24"/>
                <w:shd w:val="clear" w:color="auto" w:fill="FFFFFF"/>
              </w:rPr>
            </w:pPr>
            <w:r>
              <w:rPr>
                <w:rFonts w:hint="eastAsia"/>
                <w:color w:val="000000"/>
                <w:sz w:val="24"/>
                <w:shd w:val="clear" w:color="auto" w:fill="FFFFFF"/>
              </w:rPr>
              <w:t>高级工程师</w:t>
            </w:r>
          </w:p>
        </w:tc>
        <w:tc>
          <w:tcPr>
            <w:tcW w:w="1704" w:type="pct"/>
          </w:tcPr>
          <w:p w14:paraId="22397C5E">
            <w:pPr>
              <w:ind w:firstLine="0" w:firstLineChars="0"/>
              <w:rPr>
                <w:rFonts w:hint="eastAsia" w:ascii="仿宋_GB2312"/>
                <w:color w:val="000000"/>
                <w:sz w:val="24"/>
              </w:rPr>
            </w:pPr>
            <w:r>
              <w:rPr>
                <w:rFonts w:hint="eastAsia" w:ascii="仿宋_GB2312"/>
                <w:color w:val="000000"/>
                <w:sz w:val="24"/>
              </w:rPr>
              <w:t>参与标准文本及编制说明的编写，不断对标准提出修正意见。</w:t>
            </w:r>
          </w:p>
        </w:tc>
      </w:tr>
      <w:tr w14:paraId="31D2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4580AA76">
            <w:pPr>
              <w:ind w:firstLine="0" w:firstLineChars="0"/>
              <w:jc w:val="center"/>
              <w:rPr>
                <w:sz w:val="24"/>
              </w:rPr>
            </w:pPr>
            <w:r>
              <w:rPr>
                <w:sz w:val="24"/>
              </w:rPr>
              <w:t>梁立会</w:t>
            </w:r>
          </w:p>
        </w:tc>
        <w:tc>
          <w:tcPr>
            <w:tcW w:w="1068" w:type="pct"/>
            <w:vAlign w:val="center"/>
          </w:tcPr>
          <w:p w14:paraId="0A3E56D7">
            <w:pPr>
              <w:ind w:firstLine="0" w:firstLineChars="0"/>
              <w:jc w:val="left"/>
              <w:rPr>
                <w:bCs/>
                <w:sz w:val="24"/>
              </w:rPr>
            </w:pPr>
            <w:r>
              <w:rPr>
                <w:bCs/>
                <w:sz w:val="24"/>
              </w:rPr>
              <w:t>广西金花茶业有限公司</w:t>
            </w:r>
          </w:p>
        </w:tc>
        <w:tc>
          <w:tcPr>
            <w:tcW w:w="739" w:type="pct"/>
            <w:vAlign w:val="center"/>
          </w:tcPr>
          <w:p w14:paraId="109E86EE">
            <w:pPr>
              <w:ind w:firstLine="0" w:firstLineChars="0"/>
              <w:jc w:val="center"/>
              <w:rPr>
                <w:bCs/>
                <w:sz w:val="24"/>
              </w:rPr>
            </w:pPr>
            <w:r>
              <w:rPr>
                <w:bCs/>
                <w:sz w:val="24"/>
              </w:rPr>
              <w:t>茶叶</w:t>
            </w:r>
          </w:p>
        </w:tc>
        <w:tc>
          <w:tcPr>
            <w:tcW w:w="798" w:type="pct"/>
            <w:vAlign w:val="center"/>
          </w:tcPr>
          <w:p w14:paraId="4BAD5CCD">
            <w:pPr>
              <w:spacing w:line="440" w:lineRule="exact"/>
              <w:ind w:firstLine="0" w:firstLineChars="0"/>
              <w:jc w:val="center"/>
              <w:rPr>
                <w:color w:val="000000"/>
                <w:sz w:val="24"/>
                <w:shd w:val="clear" w:color="auto" w:fill="FFFFFF"/>
              </w:rPr>
            </w:pPr>
            <w:r>
              <w:rPr>
                <w:color w:val="000000"/>
                <w:sz w:val="24"/>
                <w:shd w:val="clear" w:color="auto" w:fill="FFFFFF"/>
              </w:rPr>
              <w:t>制茶工程师</w:t>
            </w:r>
          </w:p>
        </w:tc>
        <w:tc>
          <w:tcPr>
            <w:tcW w:w="1704" w:type="pct"/>
          </w:tcPr>
          <w:p w14:paraId="41E38E17">
            <w:pPr>
              <w:ind w:firstLine="0" w:firstLineChars="0"/>
              <w:rPr>
                <w:color w:val="000000"/>
                <w:szCs w:val="32"/>
              </w:rPr>
            </w:pPr>
            <w:r>
              <w:rPr>
                <w:rFonts w:hint="eastAsia" w:ascii="仿宋_GB2312"/>
                <w:color w:val="000000"/>
                <w:sz w:val="24"/>
              </w:rPr>
              <w:t>对标准实施情况进行总结分析，不断对标准提出修正意见。</w:t>
            </w:r>
          </w:p>
        </w:tc>
      </w:tr>
      <w:tr w14:paraId="41D1C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043F841D">
            <w:pPr>
              <w:ind w:firstLine="0" w:firstLineChars="0"/>
              <w:jc w:val="center"/>
              <w:rPr>
                <w:sz w:val="24"/>
              </w:rPr>
            </w:pPr>
            <w:r>
              <w:rPr>
                <w:sz w:val="24"/>
              </w:rPr>
              <w:t>谢宏华</w:t>
            </w:r>
          </w:p>
        </w:tc>
        <w:tc>
          <w:tcPr>
            <w:tcW w:w="1068" w:type="pct"/>
            <w:vAlign w:val="center"/>
          </w:tcPr>
          <w:p w14:paraId="2B1A01EA">
            <w:pPr>
              <w:ind w:firstLine="0" w:firstLineChars="0"/>
              <w:jc w:val="left"/>
              <w:rPr>
                <w:bCs/>
                <w:sz w:val="24"/>
              </w:rPr>
            </w:pPr>
            <w:r>
              <w:rPr>
                <w:bCs/>
                <w:sz w:val="24"/>
              </w:rPr>
              <w:t>横县南方茶厂</w:t>
            </w:r>
          </w:p>
        </w:tc>
        <w:tc>
          <w:tcPr>
            <w:tcW w:w="739" w:type="pct"/>
            <w:vAlign w:val="center"/>
          </w:tcPr>
          <w:p w14:paraId="4012B6D1">
            <w:pPr>
              <w:ind w:firstLine="0" w:firstLineChars="0"/>
              <w:jc w:val="center"/>
              <w:rPr>
                <w:bCs/>
                <w:sz w:val="24"/>
              </w:rPr>
            </w:pPr>
            <w:r>
              <w:rPr>
                <w:bCs/>
                <w:sz w:val="24"/>
              </w:rPr>
              <w:t>茶叶</w:t>
            </w:r>
          </w:p>
        </w:tc>
        <w:tc>
          <w:tcPr>
            <w:tcW w:w="798" w:type="pct"/>
            <w:vAlign w:val="center"/>
          </w:tcPr>
          <w:p w14:paraId="0DABB0EA">
            <w:pPr>
              <w:spacing w:line="440" w:lineRule="exact"/>
              <w:ind w:firstLine="0" w:firstLineChars="0"/>
              <w:jc w:val="center"/>
              <w:rPr>
                <w:color w:val="000000"/>
                <w:sz w:val="24"/>
                <w:shd w:val="clear" w:color="auto" w:fill="FFFFFF"/>
              </w:rPr>
            </w:pPr>
            <w:r>
              <w:rPr>
                <w:color w:val="000000"/>
                <w:sz w:val="24"/>
                <w:shd w:val="clear" w:color="auto" w:fill="FFFFFF"/>
              </w:rPr>
              <w:t>工程师</w:t>
            </w:r>
          </w:p>
        </w:tc>
        <w:tc>
          <w:tcPr>
            <w:tcW w:w="1704" w:type="pct"/>
          </w:tcPr>
          <w:p w14:paraId="17BA4DF2">
            <w:pPr>
              <w:ind w:firstLine="0" w:firstLineChars="0"/>
              <w:rPr>
                <w:color w:val="000000"/>
                <w:szCs w:val="32"/>
              </w:rPr>
            </w:pPr>
            <w:r>
              <w:rPr>
                <w:rFonts w:hint="eastAsia" w:ascii="仿宋_GB2312"/>
                <w:color w:val="000000"/>
                <w:sz w:val="24"/>
              </w:rPr>
              <w:t>对标准实施情况进行总结分析，不断对标准提出修正意见。</w:t>
            </w:r>
          </w:p>
        </w:tc>
      </w:tr>
      <w:tr w14:paraId="6D11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4AF110CC">
            <w:pPr>
              <w:ind w:firstLine="0" w:firstLineChars="0"/>
              <w:jc w:val="center"/>
              <w:rPr>
                <w:sz w:val="24"/>
              </w:rPr>
            </w:pPr>
            <w:r>
              <w:rPr>
                <w:sz w:val="24"/>
              </w:rPr>
              <w:t>罗莲凤</w:t>
            </w:r>
          </w:p>
        </w:tc>
        <w:tc>
          <w:tcPr>
            <w:tcW w:w="1068" w:type="pct"/>
            <w:vAlign w:val="center"/>
          </w:tcPr>
          <w:p w14:paraId="07466D44">
            <w:pPr>
              <w:ind w:firstLine="0" w:firstLineChars="0"/>
              <w:jc w:val="left"/>
              <w:rPr>
                <w:bCs/>
                <w:sz w:val="24"/>
              </w:rPr>
            </w:pPr>
            <w:r>
              <w:rPr>
                <w:bCs/>
                <w:sz w:val="24"/>
              </w:rPr>
              <w:t>广西南亚热带农业科学研究所</w:t>
            </w:r>
          </w:p>
        </w:tc>
        <w:tc>
          <w:tcPr>
            <w:tcW w:w="739" w:type="pct"/>
            <w:vAlign w:val="center"/>
          </w:tcPr>
          <w:p w14:paraId="35D4FF96">
            <w:pPr>
              <w:ind w:firstLine="0" w:firstLineChars="0"/>
              <w:jc w:val="center"/>
              <w:rPr>
                <w:bCs/>
                <w:sz w:val="24"/>
              </w:rPr>
            </w:pPr>
            <w:r>
              <w:rPr>
                <w:bCs/>
                <w:sz w:val="24"/>
              </w:rPr>
              <w:t>茶叶</w:t>
            </w:r>
          </w:p>
        </w:tc>
        <w:tc>
          <w:tcPr>
            <w:tcW w:w="798" w:type="pct"/>
            <w:vAlign w:val="center"/>
          </w:tcPr>
          <w:p w14:paraId="277ED123">
            <w:pPr>
              <w:ind w:firstLine="0" w:firstLineChars="0"/>
              <w:jc w:val="center"/>
              <w:rPr>
                <w:bCs/>
                <w:sz w:val="24"/>
              </w:rPr>
            </w:pPr>
            <w:r>
              <w:rPr>
                <w:color w:val="000000"/>
                <w:sz w:val="24"/>
                <w:shd w:val="clear" w:color="auto" w:fill="FFFFFF"/>
              </w:rPr>
              <w:t>正高级农艺师</w:t>
            </w:r>
          </w:p>
        </w:tc>
        <w:tc>
          <w:tcPr>
            <w:tcW w:w="1704" w:type="pct"/>
            <w:vAlign w:val="center"/>
          </w:tcPr>
          <w:p w14:paraId="427DB34A">
            <w:pPr>
              <w:ind w:firstLine="0" w:firstLineChars="0"/>
              <w:rPr>
                <w:rFonts w:ascii="仿宋_GB2312"/>
                <w:color w:val="000000"/>
                <w:sz w:val="24"/>
              </w:rPr>
            </w:pPr>
            <w:r>
              <w:rPr>
                <w:rFonts w:hint="eastAsia" w:ascii="仿宋_GB2312"/>
                <w:color w:val="000000"/>
                <w:sz w:val="24"/>
              </w:rPr>
              <w:t xml:space="preserve">参与标准文本及编制说明的编写；组织开展标准征求意见会 </w:t>
            </w:r>
          </w:p>
        </w:tc>
      </w:tr>
      <w:tr w14:paraId="1635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7913184D">
            <w:pPr>
              <w:ind w:firstLine="0" w:firstLineChars="0"/>
              <w:jc w:val="center"/>
              <w:rPr>
                <w:sz w:val="24"/>
              </w:rPr>
            </w:pPr>
            <w:r>
              <w:rPr>
                <w:sz w:val="24"/>
              </w:rPr>
              <w:t>覃秀菊</w:t>
            </w:r>
          </w:p>
        </w:tc>
        <w:tc>
          <w:tcPr>
            <w:tcW w:w="1068" w:type="pct"/>
            <w:vAlign w:val="center"/>
          </w:tcPr>
          <w:p w14:paraId="3F9FF963">
            <w:pPr>
              <w:ind w:firstLine="0" w:firstLineChars="0"/>
              <w:jc w:val="left"/>
              <w:rPr>
                <w:bCs/>
                <w:sz w:val="24"/>
              </w:rPr>
            </w:pPr>
            <w:r>
              <w:rPr>
                <w:bCs/>
                <w:sz w:val="24"/>
              </w:rPr>
              <w:t>广西绿异茶树良种研究院</w:t>
            </w:r>
          </w:p>
        </w:tc>
        <w:tc>
          <w:tcPr>
            <w:tcW w:w="739" w:type="pct"/>
            <w:vAlign w:val="center"/>
          </w:tcPr>
          <w:p w14:paraId="37FF5175">
            <w:pPr>
              <w:ind w:firstLine="0" w:firstLineChars="0"/>
              <w:jc w:val="center"/>
              <w:rPr>
                <w:bCs/>
                <w:sz w:val="24"/>
              </w:rPr>
            </w:pPr>
            <w:bookmarkStart w:id="0" w:name="OLE_LINK2"/>
            <w:bookmarkStart w:id="1" w:name="OLE_LINK1"/>
            <w:r>
              <w:rPr>
                <w:bCs/>
                <w:sz w:val="24"/>
              </w:rPr>
              <w:t>茶叶</w:t>
            </w:r>
            <w:bookmarkEnd w:id="0"/>
            <w:bookmarkEnd w:id="1"/>
          </w:p>
        </w:tc>
        <w:tc>
          <w:tcPr>
            <w:tcW w:w="798" w:type="pct"/>
            <w:vAlign w:val="center"/>
          </w:tcPr>
          <w:p w14:paraId="4B5A061D">
            <w:pPr>
              <w:ind w:firstLine="0" w:firstLineChars="0"/>
              <w:jc w:val="center"/>
              <w:rPr>
                <w:color w:val="000000"/>
                <w:sz w:val="24"/>
                <w:shd w:val="clear" w:color="auto" w:fill="FFFFFF"/>
              </w:rPr>
            </w:pPr>
            <w:r>
              <w:rPr>
                <w:color w:val="000000"/>
                <w:sz w:val="24"/>
                <w:shd w:val="clear" w:color="auto" w:fill="FFFFFF"/>
              </w:rPr>
              <w:t>负责人</w:t>
            </w:r>
          </w:p>
        </w:tc>
        <w:tc>
          <w:tcPr>
            <w:tcW w:w="1704" w:type="pct"/>
          </w:tcPr>
          <w:p w14:paraId="7A80B49C">
            <w:pPr>
              <w:ind w:firstLine="0" w:firstLineChars="0"/>
              <w:rPr>
                <w:color w:val="000000"/>
                <w:szCs w:val="32"/>
              </w:rPr>
            </w:pPr>
            <w:r>
              <w:rPr>
                <w:rFonts w:hint="eastAsia" w:ascii="仿宋_GB2312"/>
                <w:color w:val="000000"/>
                <w:sz w:val="24"/>
              </w:rPr>
              <w:t>参与调研，配合感官、理化指标检测，对标准实施情况进行</w:t>
            </w:r>
            <w:bookmarkStart w:id="2" w:name="OLE_LINK6"/>
            <w:bookmarkStart w:id="3" w:name="OLE_LINK5"/>
            <w:r>
              <w:rPr>
                <w:rFonts w:hint="eastAsia" w:ascii="仿宋_GB2312"/>
                <w:color w:val="000000"/>
                <w:sz w:val="24"/>
              </w:rPr>
              <w:t>总结分析，不断对标准提出</w:t>
            </w:r>
            <w:bookmarkEnd w:id="2"/>
            <w:bookmarkEnd w:id="3"/>
            <w:r>
              <w:rPr>
                <w:rFonts w:hint="eastAsia" w:ascii="仿宋_GB2312"/>
                <w:color w:val="000000"/>
                <w:sz w:val="24"/>
              </w:rPr>
              <w:t>修正意见。</w:t>
            </w:r>
          </w:p>
        </w:tc>
      </w:tr>
      <w:tr w14:paraId="080E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71FE862B">
            <w:pPr>
              <w:ind w:firstLine="0" w:firstLineChars="0"/>
              <w:jc w:val="center"/>
              <w:rPr>
                <w:sz w:val="24"/>
              </w:rPr>
            </w:pPr>
            <w:r>
              <w:rPr>
                <w:sz w:val="24"/>
              </w:rPr>
              <w:t>杨旭萍</w:t>
            </w:r>
          </w:p>
        </w:tc>
        <w:tc>
          <w:tcPr>
            <w:tcW w:w="1068" w:type="pct"/>
            <w:vAlign w:val="center"/>
          </w:tcPr>
          <w:p w14:paraId="048B650E">
            <w:pPr>
              <w:ind w:firstLine="0" w:firstLineChars="0"/>
              <w:jc w:val="left"/>
              <w:rPr>
                <w:bCs/>
                <w:sz w:val="24"/>
              </w:rPr>
            </w:pPr>
            <w:r>
              <w:rPr>
                <w:bCs/>
                <w:sz w:val="24"/>
              </w:rPr>
              <w:t>横州市综合检验检测中心</w:t>
            </w:r>
          </w:p>
        </w:tc>
        <w:tc>
          <w:tcPr>
            <w:tcW w:w="739" w:type="pct"/>
            <w:vAlign w:val="center"/>
          </w:tcPr>
          <w:p w14:paraId="4DFD0E0B">
            <w:pPr>
              <w:ind w:firstLine="0" w:firstLineChars="0"/>
              <w:jc w:val="center"/>
              <w:rPr>
                <w:bCs/>
                <w:sz w:val="24"/>
              </w:rPr>
            </w:pPr>
            <w:r>
              <w:rPr>
                <w:bCs/>
                <w:sz w:val="24"/>
              </w:rPr>
              <w:t>检验检测</w:t>
            </w:r>
          </w:p>
        </w:tc>
        <w:tc>
          <w:tcPr>
            <w:tcW w:w="798" w:type="pct"/>
            <w:vAlign w:val="center"/>
          </w:tcPr>
          <w:p w14:paraId="67B9ED8E">
            <w:pPr>
              <w:ind w:firstLine="0" w:firstLineChars="0"/>
              <w:jc w:val="center"/>
              <w:rPr>
                <w:color w:val="000000"/>
                <w:sz w:val="24"/>
                <w:shd w:val="clear" w:color="auto" w:fill="FFFFFF"/>
              </w:rPr>
            </w:pPr>
            <w:r>
              <w:rPr>
                <w:color w:val="000000"/>
                <w:sz w:val="24"/>
                <w:shd w:val="clear" w:color="auto" w:fill="FFFFFF"/>
              </w:rPr>
              <w:t>副主任</w:t>
            </w:r>
          </w:p>
        </w:tc>
        <w:tc>
          <w:tcPr>
            <w:tcW w:w="1704" w:type="pct"/>
          </w:tcPr>
          <w:p w14:paraId="0CD66DD3">
            <w:pPr>
              <w:ind w:firstLine="0" w:firstLineChars="0"/>
              <w:rPr>
                <w:rFonts w:ascii="仿宋_GB2312"/>
                <w:color w:val="000000"/>
                <w:sz w:val="24"/>
              </w:rPr>
            </w:pPr>
            <w:r>
              <w:rPr>
                <w:rFonts w:hint="eastAsia" w:ascii="仿宋_GB2312"/>
                <w:color w:val="000000"/>
                <w:sz w:val="24"/>
              </w:rPr>
              <w:t>对标准实施情况进行总结分析，不断对标准提出修正意见。</w:t>
            </w:r>
          </w:p>
        </w:tc>
      </w:tr>
      <w:tr w14:paraId="4009B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431731B8">
            <w:pPr>
              <w:ind w:firstLine="0" w:firstLineChars="0"/>
              <w:jc w:val="center"/>
              <w:rPr>
                <w:sz w:val="24"/>
              </w:rPr>
            </w:pPr>
            <w:r>
              <w:rPr>
                <w:sz w:val="24"/>
              </w:rPr>
              <w:t>蒙小林</w:t>
            </w:r>
          </w:p>
        </w:tc>
        <w:tc>
          <w:tcPr>
            <w:tcW w:w="1068" w:type="pct"/>
            <w:vAlign w:val="center"/>
          </w:tcPr>
          <w:p w14:paraId="7432B8EA">
            <w:pPr>
              <w:ind w:firstLine="0" w:firstLineChars="0"/>
              <w:jc w:val="left"/>
              <w:rPr>
                <w:bCs/>
                <w:sz w:val="24"/>
              </w:rPr>
            </w:pPr>
            <w:r>
              <w:rPr>
                <w:bCs/>
                <w:sz w:val="24"/>
              </w:rPr>
              <w:t>广西壮族自治区郁江茶厂</w:t>
            </w:r>
          </w:p>
        </w:tc>
        <w:tc>
          <w:tcPr>
            <w:tcW w:w="739" w:type="pct"/>
            <w:vAlign w:val="center"/>
          </w:tcPr>
          <w:p w14:paraId="4ADCB66C">
            <w:pPr>
              <w:ind w:firstLine="0" w:firstLineChars="0"/>
              <w:jc w:val="center"/>
              <w:rPr>
                <w:bCs/>
                <w:sz w:val="24"/>
              </w:rPr>
            </w:pPr>
            <w:r>
              <w:rPr>
                <w:bCs/>
                <w:sz w:val="24"/>
              </w:rPr>
              <w:t>茶叶</w:t>
            </w:r>
          </w:p>
        </w:tc>
        <w:tc>
          <w:tcPr>
            <w:tcW w:w="798" w:type="pct"/>
            <w:vAlign w:val="center"/>
          </w:tcPr>
          <w:p w14:paraId="679FF6F7">
            <w:pPr>
              <w:spacing w:line="440" w:lineRule="exact"/>
              <w:ind w:firstLine="0" w:firstLineChars="0"/>
              <w:jc w:val="center"/>
              <w:rPr>
                <w:color w:val="000000"/>
                <w:sz w:val="24"/>
                <w:shd w:val="clear" w:color="auto" w:fill="FFFFFF"/>
              </w:rPr>
            </w:pPr>
            <w:r>
              <w:rPr>
                <w:color w:val="000000"/>
                <w:sz w:val="24"/>
                <w:shd w:val="clear" w:color="auto" w:fill="FFFFFF"/>
              </w:rPr>
              <w:t>副厂长</w:t>
            </w:r>
          </w:p>
        </w:tc>
        <w:tc>
          <w:tcPr>
            <w:tcW w:w="1704" w:type="pct"/>
          </w:tcPr>
          <w:p w14:paraId="073EB627">
            <w:pPr>
              <w:ind w:firstLine="0" w:firstLineChars="0"/>
              <w:rPr>
                <w:rFonts w:ascii="仿宋_GB2312"/>
                <w:color w:val="000000"/>
                <w:sz w:val="24"/>
              </w:rPr>
            </w:pPr>
            <w:r>
              <w:rPr>
                <w:rFonts w:hint="eastAsia" w:ascii="仿宋_GB2312"/>
                <w:color w:val="000000"/>
                <w:sz w:val="24"/>
              </w:rPr>
              <w:t>对标准实施情况进行总结分析，不断对标准提出修正意见。</w:t>
            </w:r>
          </w:p>
        </w:tc>
      </w:tr>
      <w:tr w14:paraId="099F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282FA2BE">
            <w:pPr>
              <w:ind w:firstLine="0" w:firstLineChars="0"/>
              <w:jc w:val="center"/>
              <w:rPr>
                <w:sz w:val="24"/>
              </w:rPr>
            </w:pPr>
            <w:r>
              <w:rPr>
                <w:rFonts w:hint="eastAsia"/>
                <w:sz w:val="24"/>
              </w:rPr>
              <w:t>宋业昌</w:t>
            </w:r>
          </w:p>
        </w:tc>
        <w:tc>
          <w:tcPr>
            <w:tcW w:w="1068" w:type="pct"/>
            <w:vAlign w:val="center"/>
          </w:tcPr>
          <w:p w14:paraId="03A3A219">
            <w:pPr>
              <w:ind w:firstLine="0" w:firstLineChars="0"/>
              <w:rPr>
                <w:sz w:val="24"/>
              </w:rPr>
            </w:pPr>
            <w:r>
              <w:rPr>
                <w:rFonts w:hint="eastAsia"/>
                <w:sz w:val="24"/>
              </w:rPr>
              <w:t>广西横州心怡香料有限公司</w:t>
            </w:r>
          </w:p>
        </w:tc>
        <w:tc>
          <w:tcPr>
            <w:tcW w:w="739" w:type="pct"/>
            <w:vAlign w:val="center"/>
          </w:tcPr>
          <w:p w14:paraId="11EBF9EF">
            <w:pPr>
              <w:ind w:firstLine="0" w:firstLineChars="0"/>
              <w:rPr>
                <w:sz w:val="24"/>
              </w:rPr>
            </w:pPr>
            <w:r>
              <w:rPr>
                <w:rFonts w:hint="eastAsia"/>
                <w:sz w:val="24"/>
              </w:rPr>
              <w:t>分析化学</w:t>
            </w:r>
          </w:p>
        </w:tc>
        <w:tc>
          <w:tcPr>
            <w:tcW w:w="798" w:type="pct"/>
            <w:vAlign w:val="center"/>
          </w:tcPr>
          <w:p w14:paraId="1BA7D7B6">
            <w:pPr>
              <w:ind w:firstLine="0" w:firstLineChars="0"/>
              <w:jc w:val="center"/>
              <w:rPr>
                <w:sz w:val="24"/>
              </w:rPr>
            </w:pPr>
            <w:r>
              <w:rPr>
                <w:rFonts w:hint="eastAsia"/>
                <w:sz w:val="24"/>
              </w:rPr>
              <w:t>总经理</w:t>
            </w:r>
          </w:p>
        </w:tc>
        <w:tc>
          <w:tcPr>
            <w:tcW w:w="1704" w:type="pct"/>
          </w:tcPr>
          <w:p w14:paraId="248D5BB0">
            <w:pPr>
              <w:ind w:firstLine="0" w:firstLineChars="0"/>
              <w:rPr>
                <w:color w:val="000000"/>
                <w:szCs w:val="32"/>
              </w:rPr>
            </w:pPr>
            <w:r>
              <w:rPr>
                <w:rFonts w:hint="eastAsia" w:ascii="仿宋_GB2312"/>
                <w:color w:val="000000"/>
                <w:sz w:val="24"/>
              </w:rPr>
              <w:t>对标准实施情况进行总结分析，不断对标准提出修正意见。</w:t>
            </w:r>
          </w:p>
        </w:tc>
      </w:tr>
      <w:tr w14:paraId="3000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4BAC604C">
            <w:pPr>
              <w:ind w:firstLine="0" w:firstLineChars="0"/>
              <w:jc w:val="center"/>
              <w:rPr>
                <w:sz w:val="24"/>
              </w:rPr>
            </w:pPr>
            <w:r>
              <w:rPr>
                <w:sz w:val="24"/>
              </w:rPr>
              <w:t>宋其凤</w:t>
            </w:r>
          </w:p>
        </w:tc>
        <w:tc>
          <w:tcPr>
            <w:tcW w:w="1068" w:type="pct"/>
            <w:vAlign w:val="center"/>
          </w:tcPr>
          <w:p w14:paraId="2D662082">
            <w:pPr>
              <w:spacing w:line="440" w:lineRule="exact"/>
              <w:ind w:firstLine="0" w:firstLineChars="0"/>
              <w:rPr>
                <w:rFonts w:eastAsia="宋体"/>
                <w:color w:val="000000"/>
                <w:sz w:val="24"/>
                <w:shd w:val="clear" w:color="auto" w:fill="FFFFFF"/>
              </w:rPr>
            </w:pPr>
            <w:r>
              <w:rPr>
                <w:rFonts w:hint="eastAsia"/>
                <w:color w:val="000000"/>
                <w:sz w:val="24"/>
                <w:shd w:val="clear" w:color="auto" w:fill="FFFFFF"/>
              </w:rPr>
              <w:t>广西横县迎源茶业有限公司</w:t>
            </w:r>
          </w:p>
        </w:tc>
        <w:tc>
          <w:tcPr>
            <w:tcW w:w="739" w:type="pct"/>
            <w:vAlign w:val="center"/>
          </w:tcPr>
          <w:p w14:paraId="176EE16D">
            <w:pPr>
              <w:ind w:firstLine="0" w:firstLineChars="0"/>
              <w:jc w:val="center"/>
              <w:rPr>
                <w:bCs/>
                <w:sz w:val="24"/>
              </w:rPr>
            </w:pPr>
            <w:r>
              <w:rPr>
                <w:bCs/>
                <w:sz w:val="24"/>
              </w:rPr>
              <w:t>茶叶</w:t>
            </w:r>
          </w:p>
        </w:tc>
        <w:tc>
          <w:tcPr>
            <w:tcW w:w="798" w:type="pct"/>
            <w:vAlign w:val="center"/>
          </w:tcPr>
          <w:p w14:paraId="15F3762F">
            <w:pPr>
              <w:spacing w:line="440" w:lineRule="exact"/>
              <w:ind w:firstLine="0" w:firstLineChars="0"/>
              <w:jc w:val="center"/>
              <w:rPr>
                <w:color w:val="000000"/>
                <w:sz w:val="24"/>
                <w:shd w:val="clear" w:color="auto" w:fill="FFFFFF"/>
              </w:rPr>
            </w:pPr>
            <w:r>
              <w:rPr>
                <w:color w:val="000000"/>
                <w:sz w:val="24"/>
                <w:shd w:val="clear" w:color="auto" w:fill="FFFFFF"/>
              </w:rPr>
              <w:t>负责人</w:t>
            </w:r>
          </w:p>
        </w:tc>
        <w:tc>
          <w:tcPr>
            <w:tcW w:w="1704" w:type="pct"/>
          </w:tcPr>
          <w:p w14:paraId="674DCA9D">
            <w:pPr>
              <w:ind w:firstLine="0" w:firstLineChars="0"/>
              <w:rPr>
                <w:color w:val="000000"/>
                <w:szCs w:val="32"/>
              </w:rPr>
            </w:pPr>
            <w:r>
              <w:rPr>
                <w:rFonts w:hint="eastAsia" w:ascii="仿宋_GB2312"/>
                <w:color w:val="000000"/>
                <w:sz w:val="24"/>
              </w:rPr>
              <w:t>参与调研，配合感官、理化指标检测，对标准实施情况进行总结分析，不断对标准提出修正意见。</w:t>
            </w:r>
          </w:p>
        </w:tc>
      </w:tr>
      <w:tr w14:paraId="4E70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1E14971A">
            <w:pPr>
              <w:ind w:firstLine="0" w:firstLineChars="0"/>
              <w:jc w:val="center"/>
              <w:rPr>
                <w:sz w:val="24"/>
              </w:rPr>
            </w:pPr>
            <w:r>
              <w:rPr>
                <w:sz w:val="24"/>
              </w:rPr>
              <w:t>赵云雄</w:t>
            </w:r>
          </w:p>
        </w:tc>
        <w:tc>
          <w:tcPr>
            <w:tcW w:w="1068" w:type="pct"/>
            <w:vAlign w:val="center"/>
          </w:tcPr>
          <w:p w14:paraId="097ABF83">
            <w:pPr>
              <w:ind w:firstLine="0" w:firstLineChars="0"/>
              <w:jc w:val="left"/>
              <w:rPr>
                <w:bCs/>
                <w:sz w:val="24"/>
              </w:rPr>
            </w:pPr>
            <w:r>
              <w:rPr>
                <w:bCs/>
                <w:sz w:val="24"/>
              </w:rPr>
              <w:t>广西南亚热带农业科学研究所</w:t>
            </w:r>
          </w:p>
        </w:tc>
        <w:tc>
          <w:tcPr>
            <w:tcW w:w="739" w:type="pct"/>
            <w:vAlign w:val="center"/>
          </w:tcPr>
          <w:p w14:paraId="049B7DE6">
            <w:pPr>
              <w:ind w:firstLine="0" w:firstLineChars="0"/>
              <w:jc w:val="center"/>
              <w:rPr>
                <w:bCs/>
                <w:sz w:val="24"/>
              </w:rPr>
            </w:pPr>
            <w:r>
              <w:rPr>
                <w:bCs/>
                <w:sz w:val="24"/>
              </w:rPr>
              <w:t>茶叶</w:t>
            </w:r>
          </w:p>
        </w:tc>
        <w:tc>
          <w:tcPr>
            <w:tcW w:w="798" w:type="pct"/>
            <w:vAlign w:val="center"/>
          </w:tcPr>
          <w:p w14:paraId="76E36EAF">
            <w:pPr>
              <w:spacing w:line="440" w:lineRule="exact"/>
              <w:ind w:firstLine="0" w:firstLineChars="0"/>
              <w:jc w:val="center"/>
              <w:rPr>
                <w:color w:val="000000"/>
                <w:sz w:val="24"/>
                <w:shd w:val="clear" w:color="auto" w:fill="FFFFFF"/>
              </w:rPr>
            </w:pPr>
            <w:r>
              <w:rPr>
                <w:color w:val="000000"/>
                <w:sz w:val="24"/>
                <w:shd w:val="clear" w:color="auto" w:fill="FFFFFF"/>
              </w:rPr>
              <w:t>助理研究员</w:t>
            </w:r>
          </w:p>
        </w:tc>
        <w:tc>
          <w:tcPr>
            <w:tcW w:w="1704" w:type="pct"/>
          </w:tcPr>
          <w:p w14:paraId="17DCC90A">
            <w:pPr>
              <w:ind w:firstLine="0" w:firstLineChars="0"/>
              <w:rPr>
                <w:rFonts w:ascii="仿宋_GB2312"/>
                <w:color w:val="000000"/>
                <w:sz w:val="24"/>
              </w:rPr>
            </w:pPr>
            <w:r>
              <w:rPr>
                <w:rFonts w:hint="eastAsia" w:ascii="仿宋_GB2312"/>
                <w:color w:val="000000"/>
                <w:sz w:val="24"/>
              </w:rPr>
              <w:t>参与调研，对标准实施情况进行总结分析，不断对标准提出修正意见。</w:t>
            </w:r>
          </w:p>
        </w:tc>
      </w:tr>
      <w:tr w14:paraId="27F0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69A3A387">
            <w:pPr>
              <w:ind w:firstLine="0" w:firstLineChars="0"/>
              <w:jc w:val="center"/>
              <w:rPr>
                <w:sz w:val="24"/>
              </w:rPr>
            </w:pPr>
            <w:r>
              <w:rPr>
                <w:sz w:val="24"/>
              </w:rPr>
              <w:t>刘宝贵</w:t>
            </w:r>
          </w:p>
        </w:tc>
        <w:tc>
          <w:tcPr>
            <w:tcW w:w="1068" w:type="pct"/>
            <w:vAlign w:val="center"/>
          </w:tcPr>
          <w:p w14:paraId="65838E34">
            <w:pPr>
              <w:ind w:firstLine="0" w:firstLineChars="0"/>
              <w:jc w:val="left"/>
              <w:rPr>
                <w:bCs/>
                <w:sz w:val="24"/>
              </w:rPr>
            </w:pPr>
            <w:r>
              <w:rPr>
                <w:bCs/>
                <w:sz w:val="24"/>
              </w:rPr>
              <w:t>广西南亚热带农业科学研究所</w:t>
            </w:r>
          </w:p>
        </w:tc>
        <w:tc>
          <w:tcPr>
            <w:tcW w:w="739" w:type="pct"/>
            <w:vAlign w:val="center"/>
          </w:tcPr>
          <w:p w14:paraId="5B8916FA">
            <w:pPr>
              <w:ind w:firstLine="0" w:firstLineChars="0"/>
              <w:jc w:val="center"/>
              <w:rPr>
                <w:bCs/>
                <w:sz w:val="24"/>
              </w:rPr>
            </w:pPr>
            <w:r>
              <w:rPr>
                <w:bCs/>
                <w:sz w:val="24"/>
              </w:rPr>
              <w:t>茶叶</w:t>
            </w:r>
          </w:p>
        </w:tc>
        <w:tc>
          <w:tcPr>
            <w:tcW w:w="798" w:type="pct"/>
            <w:vAlign w:val="center"/>
          </w:tcPr>
          <w:p w14:paraId="1882F5B6">
            <w:pPr>
              <w:spacing w:line="440" w:lineRule="exact"/>
              <w:ind w:firstLine="0" w:firstLineChars="0"/>
              <w:jc w:val="center"/>
              <w:rPr>
                <w:color w:val="000000"/>
                <w:sz w:val="24"/>
                <w:shd w:val="clear" w:color="auto" w:fill="FFFFFF"/>
              </w:rPr>
            </w:pPr>
            <w:r>
              <w:rPr>
                <w:color w:val="000000"/>
                <w:sz w:val="24"/>
                <w:shd w:val="clear" w:color="auto" w:fill="FFFFFF"/>
              </w:rPr>
              <w:t>助理研究员</w:t>
            </w:r>
          </w:p>
        </w:tc>
        <w:tc>
          <w:tcPr>
            <w:tcW w:w="1704" w:type="pct"/>
            <w:vAlign w:val="center"/>
          </w:tcPr>
          <w:p w14:paraId="493CEAA1">
            <w:pPr>
              <w:ind w:firstLine="0" w:firstLineChars="0"/>
              <w:rPr>
                <w:rFonts w:ascii="仿宋_GB2312"/>
                <w:color w:val="000000"/>
                <w:sz w:val="24"/>
              </w:rPr>
            </w:pPr>
            <w:r>
              <w:rPr>
                <w:rFonts w:hint="eastAsia" w:ascii="仿宋_GB2312"/>
                <w:color w:val="000000"/>
                <w:sz w:val="24"/>
              </w:rPr>
              <w:t>参与调研，对标准实施情况进行总结分析，不断对标准提出修正意见。</w:t>
            </w:r>
          </w:p>
        </w:tc>
      </w:tr>
      <w:tr w14:paraId="0F95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3ECCF2E3">
            <w:pPr>
              <w:ind w:firstLine="0" w:firstLineChars="0"/>
              <w:jc w:val="center"/>
              <w:rPr>
                <w:sz w:val="24"/>
              </w:rPr>
            </w:pPr>
            <w:r>
              <w:rPr>
                <w:sz w:val="24"/>
              </w:rPr>
              <w:t>谢宏昭</w:t>
            </w:r>
          </w:p>
        </w:tc>
        <w:tc>
          <w:tcPr>
            <w:tcW w:w="1068" w:type="pct"/>
            <w:vAlign w:val="center"/>
          </w:tcPr>
          <w:p w14:paraId="0733B710">
            <w:pPr>
              <w:ind w:firstLine="0" w:firstLineChars="0"/>
              <w:jc w:val="left"/>
              <w:rPr>
                <w:bCs/>
                <w:sz w:val="24"/>
              </w:rPr>
            </w:pPr>
            <w:r>
              <w:rPr>
                <w:bCs/>
                <w:sz w:val="24"/>
              </w:rPr>
              <w:t>广西标准化协会</w:t>
            </w:r>
          </w:p>
        </w:tc>
        <w:tc>
          <w:tcPr>
            <w:tcW w:w="739" w:type="pct"/>
            <w:vAlign w:val="center"/>
          </w:tcPr>
          <w:p w14:paraId="7FE2D310">
            <w:pPr>
              <w:ind w:firstLine="0" w:firstLineChars="0"/>
              <w:jc w:val="center"/>
              <w:rPr>
                <w:bCs/>
                <w:sz w:val="24"/>
              </w:rPr>
            </w:pPr>
            <w:r>
              <w:rPr>
                <w:bCs/>
                <w:sz w:val="24"/>
              </w:rPr>
              <w:t>标准化</w:t>
            </w:r>
          </w:p>
        </w:tc>
        <w:tc>
          <w:tcPr>
            <w:tcW w:w="798" w:type="pct"/>
            <w:vAlign w:val="center"/>
          </w:tcPr>
          <w:p w14:paraId="21A4BEE7">
            <w:pPr>
              <w:ind w:firstLine="0" w:firstLineChars="0"/>
              <w:jc w:val="center"/>
              <w:rPr>
                <w:bCs/>
                <w:sz w:val="24"/>
              </w:rPr>
            </w:pPr>
            <w:r>
              <w:rPr>
                <w:color w:val="000000"/>
                <w:sz w:val="24"/>
                <w:shd w:val="clear" w:color="auto" w:fill="FFFFFF"/>
              </w:rPr>
              <w:t>理事长/正高级工程师</w:t>
            </w:r>
          </w:p>
        </w:tc>
        <w:tc>
          <w:tcPr>
            <w:tcW w:w="1704" w:type="pct"/>
            <w:vAlign w:val="center"/>
          </w:tcPr>
          <w:p w14:paraId="09F88801">
            <w:pPr>
              <w:ind w:firstLine="0" w:firstLineChars="0"/>
              <w:rPr>
                <w:rFonts w:ascii="仿宋_GB2312"/>
                <w:color w:val="000000"/>
                <w:sz w:val="24"/>
              </w:rPr>
            </w:pPr>
            <w:r>
              <w:rPr>
                <w:rFonts w:hint="eastAsia" w:ascii="仿宋_GB2312"/>
                <w:color w:val="000000"/>
                <w:sz w:val="24"/>
              </w:rPr>
              <w:t>对标准实施情况进行总结分析，不断对标准提出修正意见。</w:t>
            </w:r>
          </w:p>
        </w:tc>
      </w:tr>
      <w:tr w14:paraId="789E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22D100D4">
            <w:pPr>
              <w:ind w:firstLine="0" w:firstLineChars="0"/>
              <w:jc w:val="center"/>
              <w:rPr>
                <w:sz w:val="24"/>
              </w:rPr>
            </w:pPr>
            <w:r>
              <w:rPr>
                <w:sz w:val="24"/>
              </w:rPr>
              <w:t>苏子华</w:t>
            </w:r>
          </w:p>
        </w:tc>
        <w:tc>
          <w:tcPr>
            <w:tcW w:w="1068" w:type="pct"/>
            <w:vAlign w:val="center"/>
          </w:tcPr>
          <w:p w14:paraId="20A904B7">
            <w:pPr>
              <w:ind w:firstLine="0" w:firstLineChars="0"/>
              <w:jc w:val="left"/>
              <w:rPr>
                <w:bCs/>
                <w:sz w:val="24"/>
              </w:rPr>
            </w:pPr>
            <w:r>
              <w:rPr>
                <w:bCs/>
                <w:sz w:val="24"/>
              </w:rPr>
              <w:t>广西标准化协会</w:t>
            </w:r>
          </w:p>
        </w:tc>
        <w:tc>
          <w:tcPr>
            <w:tcW w:w="739" w:type="pct"/>
            <w:vAlign w:val="center"/>
          </w:tcPr>
          <w:p w14:paraId="78147282">
            <w:pPr>
              <w:ind w:firstLine="0" w:firstLineChars="0"/>
              <w:jc w:val="center"/>
              <w:rPr>
                <w:bCs/>
                <w:sz w:val="24"/>
              </w:rPr>
            </w:pPr>
            <w:r>
              <w:rPr>
                <w:bCs/>
                <w:sz w:val="24"/>
              </w:rPr>
              <w:t>标准化</w:t>
            </w:r>
          </w:p>
        </w:tc>
        <w:tc>
          <w:tcPr>
            <w:tcW w:w="798" w:type="pct"/>
            <w:vAlign w:val="center"/>
          </w:tcPr>
          <w:p w14:paraId="21752DFA">
            <w:pPr>
              <w:ind w:firstLine="0" w:firstLineChars="0"/>
              <w:jc w:val="center"/>
              <w:rPr>
                <w:bCs/>
                <w:sz w:val="24"/>
              </w:rPr>
            </w:pPr>
            <w:r>
              <w:rPr>
                <w:bCs/>
                <w:sz w:val="24"/>
              </w:rPr>
              <w:t>标准部主任</w:t>
            </w:r>
          </w:p>
        </w:tc>
        <w:tc>
          <w:tcPr>
            <w:tcW w:w="1704" w:type="pct"/>
            <w:vAlign w:val="center"/>
          </w:tcPr>
          <w:p w14:paraId="68B80B1F">
            <w:pPr>
              <w:ind w:firstLine="0" w:firstLineChars="0"/>
              <w:rPr>
                <w:rFonts w:ascii="仿宋_GB2312"/>
                <w:color w:val="000000"/>
                <w:sz w:val="24"/>
              </w:rPr>
            </w:pPr>
            <w:r>
              <w:rPr>
                <w:rFonts w:hint="eastAsia" w:ascii="仿宋_GB2312"/>
                <w:color w:val="000000"/>
                <w:sz w:val="24"/>
              </w:rPr>
              <w:t>参与标准编制工作，组织人员进行标准发布后的宣贯培训。</w:t>
            </w:r>
          </w:p>
        </w:tc>
      </w:tr>
      <w:tr w14:paraId="6672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623F4960">
            <w:pPr>
              <w:ind w:firstLine="0" w:firstLineChars="0"/>
              <w:jc w:val="center"/>
              <w:rPr>
                <w:sz w:val="24"/>
              </w:rPr>
            </w:pPr>
            <w:r>
              <w:rPr>
                <w:sz w:val="24"/>
              </w:rPr>
              <w:t>黄强</w:t>
            </w:r>
          </w:p>
        </w:tc>
        <w:tc>
          <w:tcPr>
            <w:tcW w:w="1068" w:type="pct"/>
            <w:vAlign w:val="center"/>
          </w:tcPr>
          <w:p w14:paraId="2CCFB786">
            <w:pPr>
              <w:ind w:firstLine="0" w:firstLineChars="0"/>
              <w:jc w:val="left"/>
              <w:rPr>
                <w:bCs/>
                <w:sz w:val="24"/>
              </w:rPr>
            </w:pPr>
            <w:r>
              <w:rPr>
                <w:bCs/>
                <w:sz w:val="24"/>
              </w:rPr>
              <w:t>广西标准化协会</w:t>
            </w:r>
          </w:p>
        </w:tc>
        <w:tc>
          <w:tcPr>
            <w:tcW w:w="739" w:type="pct"/>
            <w:vAlign w:val="center"/>
          </w:tcPr>
          <w:p w14:paraId="73363742">
            <w:pPr>
              <w:ind w:firstLine="0" w:firstLineChars="0"/>
              <w:jc w:val="center"/>
              <w:rPr>
                <w:bCs/>
                <w:sz w:val="24"/>
              </w:rPr>
            </w:pPr>
            <w:r>
              <w:rPr>
                <w:bCs/>
                <w:sz w:val="24"/>
              </w:rPr>
              <w:t>标准化</w:t>
            </w:r>
          </w:p>
        </w:tc>
        <w:tc>
          <w:tcPr>
            <w:tcW w:w="798" w:type="pct"/>
            <w:vAlign w:val="center"/>
          </w:tcPr>
          <w:p w14:paraId="75162748">
            <w:pPr>
              <w:ind w:firstLine="0" w:firstLineChars="0"/>
              <w:jc w:val="center"/>
              <w:rPr>
                <w:bCs/>
                <w:sz w:val="24"/>
              </w:rPr>
            </w:pPr>
            <w:r>
              <w:rPr>
                <w:bCs/>
                <w:sz w:val="24"/>
              </w:rPr>
              <w:t>工程师</w:t>
            </w:r>
          </w:p>
        </w:tc>
        <w:tc>
          <w:tcPr>
            <w:tcW w:w="1704" w:type="pct"/>
            <w:vAlign w:val="center"/>
          </w:tcPr>
          <w:p w14:paraId="63C8FEA3">
            <w:pPr>
              <w:ind w:firstLine="0" w:firstLineChars="0"/>
              <w:rPr>
                <w:rFonts w:ascii="仿宋_GB2312"/>
                <w:color w:val="000000"/>
                <w:sz w:val="24"/>
              </w:rPr>
            </w:pPr>
            <w:r>
              <w:rPr>
                <w:rFonts w:hint="eastAsia" w:ascii="仿宋_GB2312"/>
                <w:color w:val="000000"/>
                <w:sz w:val="24"/>
              </w:rPr>
              <w:t>参与标准文本及编制说明的编写；组织开展标准征求意见会</w:t>
            </w:r>
          </w:p>
        </w:tc>
      </w:tr>
      <w:tr w14:paraId="642B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1CF1DFAB">
            <w:pPr>
              <w:ind w:firstLine="0" w:firstLineChars="0"/>
              <w:jc w:val="center"/>
              <w:rPr>
                <w:sz w:val="24"/>
              </w:rPr>
            </w:pPr>
            <w:r>
              <w:rPr>
                <w:rFonts w:hint="eastAsia"/>
                <w:sz w:val="24"/>
                <w:lang w:eastAsia="zh-CN"/>
              </w:rPr>
              <w:t>蓝</w:t>
            </w:r>
            <w:r>
              <w:rPr>
                <w:rFonts w:hint="eastAsia"/>
                <w:sz w:val="24"/>
              </w:rPr>
              <w:t>东亮</w:t>
            </w:r>
          </w:p>
        </w:tc>
        <w:tc>
          <w:tcPr>
            <w:tcW w:w="1068" w:type="pct"/>
            <w:vAlign w:val="center"/>
          </w:tcPr>
          <w:p w14:paraId="7FADAEAD">
            <w:pPr>
              <w:ind w:firstLine="0" w:firstLineChars="0"/>
            </w:pPr>
            <w:r>
              <w:rPr>
                <w:rFonts w:hint="eastAsia"/>
                <w:bCs/>
                <w:sz w:val="24"/>
              </w:rPr>
              <w:t>合山市计量检定测试所</w:t>
            </w:r>
          </w:p>
        </w:tc>
        <w:tc>
          <w:tcPr>
            <w:tcW w:w="739" w:type="pct"/>
            <w:vAlign w:val="center"/>
          </w:tcPr>
          <w:p w14:paraId="32597984">
            <w:pPr>
              <w:ind w:firstLine="0" w:firstLineChars="0"/>
              <w:jc w:val="center"/>
              <w:rPr>
                <w:bCs/>
                <w:sz w:val="24"/>
              </w:rPr>
            </w:pPr>
            <w:r>
              <w:rPr>
                <w:rFonts w:hint="eastAsia"/>
                <w:bCs/>
                <w:sz w:val="24"/>
              </w:rPr>
              <w:t>质量计量</w:t>
            </w:r>
          </w:p>
        </w:tc>
        <w:tc>
          <w:tcPr>
            <w:tcW w:w="798" w:type="pct"/>
            <w:vAlign w:val="center"/>
          </w:tcPr>
          <w:p w14:paraId="1A23E28A">
            <w:pPr>
              <w:ind w:firstLine="0" w:firstLineChars="0"/>
              <w:jc w:val="center"/>
              <w:rPr>
                <w:bCs/>
                <w:sz w:val="24"/>
              </w:rPr>
            </w:pPr>
            <w:r>
              <w:rPr>
                <w:bCs/>
                <w:sz w:val="24"/>
              </w:rPr>
              <w:t>工程师</w:t>
            </w:r>
          </w:p>
        </w:tc>
        <w:tc>
          <w:tcPr>
            <w:tcW w:w="1704" w:type="pct"/>
            <w:vAlign w:val="center"/>
          </w:tcPr>
          <w:p w14:paraId="7FA2600A">
            <w:pPr>
              <w:ind w:firstLine="0" w:firstLineChars="0"/>
              <w:rPr>
                <w:rFonts w:hint="eastAsia" w:ascii="仿宋_GB2312"/>
                <w:color w:val="000000"/>
                <w:sz w:val="24"/>
              </w:rPr>
            </w:pPr>
            <w:r>
              <w:rPr>
                <w:rFonts w:hint="eastAsia" w:ascii="仿宋_GB2312"/>
                <w:color w:val="000000"/>
                <w:sz w:val="24"/>
              </w:rPr>
              <w:t>把控产品质量、产品计量性能指标</w:t>
            </w:r>
          </w:p>
        </w:tc>
      </w:tr>
      <w:tr w14:paraId="3FEF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353D637C">
            <w:pPr>
              <w:ind w:firstLine="0" w:firstLineChars="0"/>
              <w:jc w:val="center"/>
              <w:rPr>
                <w:sz w:val="24"/>
              </w:rPr>
            </w:pPr>
            <w:r>
              <w:rPr>
                <w:rFonts w:hint="eastAsia"/>
                <w:sz w:val="24"/>
              </w:rPr>
              <w:t>何狄真</w:t>
            </w:r>
          </w:p>
        </w:tc>
        <w:tc>
          <w:tcPr>
            <w:tcW w:w="1068" w:type="pct"/>
            <w:vAlign w:val="center"/>
          </w:tcPr>
          <w:p w14:paraId="7C526787">
            <w:pPr>
              <w:ind w:firstLine="0" w:firstLineChars="0"/>
            </w:pPr>
            <w:r>
              <w:rPr>
                <w:bCs/>
                <w:sz w:val="24"/>
              </w:rPr>
              <w:t>广西标准化协会</w:t>
            </w:r>
          </w:p>
        </w:tc>
        <w:tc>
          <w:tcPr>
            <w:tcW w:w="739" w:type="pct"/>
            <w:vAlign w:val="center"/>
          </w:tcPr>
          <w:p w14:paraId="3545E0AE">
            <w:pPr>
              <w:ind w:firstLine="0" w:firstLineChars="0"/>
              <w:jc w:val="center"/>
              <w:rPr>
                <w:bCs/>
                <w:sz w:val="24"/>
              </w:rPr>
            </w:pPr>
            <w:r>
              <w:rPr>
                <w:rFonts w:hint="eastAsia"/>
                <w:bCs/>
                <w:sz w:val="24"/>
              </w:rPr>
              <w:t>新闻传播</w:t>
            </w:r>
          </w:p>
        </w:tc>
        <w:tc>
          <w:tcPr>
            <w:tcW w:w="798" w:type="pct"/>
            <w:vAlign w:val="center"/>
          </w:tcPr>
          <w:p w14:paraId="1CF039DC">
            <w:pPr>
              <w:ind w:firstLine="0" w:firstLineChars="0"/>
              <w:jc w:val="center"/>
            </w:pPr>
            <w:r>
              <w:rPr>
                <w:bCs/>
                <w:sz w:val="24"/>
              </w:rPr>
              <w:t>工程师</w:t>
            </w:r>
          </w:p>
        </w:tc>
        <w:tc>
          <w:tcPr>
            <w:tcW w:w="1704" w:type="pct"/>
            <w:vAlign w:val="center"/>
          </w:tcPr>
          <w:p w14:paraId="7E207AF6">
            <w:pPr>
              <w:ind w:firstLine="0" w:firstLineChars="0"/>
              <w:rPr>
                <w:rFonts w:hint="eastAsia" w:ascii="仿宋_GB2312"/>
                <w:color w:val="000000"/>
                <w:sz w:val="24"/>
              </w:rPr>
            </w:pPr>
            <w:r>
              <w:rPr>
                <w:rFonts w:hint="eastAsia" w:ascii="仿宋_GB2312"/>
                <w:color w:val="000000"/>
                <w:sz w:val="24"/>
              </w:rPr>
              <w:t>不断对标准提出修正意见，配合后期标准的宣贯实施，以及宣传方面工作。</w:t>
            </w:r>
          </w:p>
        </w:tc>
      </w:tr>
      <w:tr w14:paraId="4099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0F96B132">
            <w:pPr>
              <w:ind w:firstLine="0" w:firstLineChars="0"/>
              <w:jc w:val="center"/>
              <w:rPr>
                <w:sz w:val="24"/>
              </w:rPr>
            </w:pPr>
            <w:r>
              <w:rPr>
                <w:rFonts w:hint="eastAsia"/>
                <w:sz w:val="24"/>
              </w:rPr>
              <w:t>彭菲菲</w:t>
            </w:r>
          </w:p>
        </w:tc>
        <w:tc>
          <w:tcPr>
            <w:tcW w:w="1068" w:type="pct"/>
            <w:vAlign w:val="center"/>
          </w:tcPr>
          <w:p w14:paraId="3DE1523D">
            <w:pPr>
              <w:ind w:firstLine="0" w:firstLineChars="0"/>
            </w:pPr>
            <w:r>
              <w:rPr>
                <w:bCs/>
                <w:sz w:val="24"/>
              </w:rPr>
              <w:t>广西标准化协会</w:t>
            </w:r>
          </w:p>
        </w:tc>
        <w:tc>
          <w:tcPr>
            <w:tcW w:w="739" w:type="pct"/>
            <w:vAlign w:val="center"/>
          </w:tcPr>
          <w:p w14:paraId="244035EA">
            <w:pPr>
              <w:ind w:firstLine="0" w:firstLineChars="0"/>
              <w:jc w:val="center"/>
              <w:rPr>
                <w:bCs/>
                <w:sz w:val="24"/>
              </w:rPr>
            </w:pPr>
            <w:r>
              <w:rPr>
                <w:rFonts w:hint="eastAsia"/>
                <w:bCs/>
                <w:sz w:val="24"/>
              </w:rPr>
              <w:t>新闻传播</w:t>
            </w:r>
          </w:p>
        </w:tc>
        <w:tc>
          <w:tcPr>
            <w:tcW w:w="798" w:type="pct"/>
            <w:vAlign w:val="center"/>
          </w:tcPr>
          <w:p w14:paraId="6016467B">
            <w:pPr>
              <w:ind w:firstLine="0" w:firstLineChars="0"/>
              <w:jc w:val="center"/>
            </w:pPr>
            <w:r>
              <w:rPr>
                <w:bCs/>
                <w:sz w:val="24"/>
              </w:rPr>
              <w:t>工程师</w:t>
            </w:r>
          </w:p>
        </w:tc>
        <w:tc>
          <w:tcPr>
            <w:tcW w:w="1704" w:type="pct"/>
            <w:vAlign w:val="center"/>
          </w:tcPr>
          <w:p w14:paraId="54921F5E">
            <w:pPr>
              <w:ind w:firstLine="0" w:firstLineChars="0"/>
              <w:rPr>
                <w:rFonts w:ascii="仿宋_GB2312"/>
                <w:color w:val="000000"/>
                <w:sz w:val="24"/>
              </w:rPr>
            </w:pPr>
            <w:r>
              <w:rPr>
                <w:rFonts w:hint="eastAsia" w:ascii="仿宋_GB2312"/>
                <w:color w:val="000000"/>
                <w:sz w:val="24"/>
              </w:rPr>
              <w:t>不断对标准提出修正意见，配合后期标准的宣贯实施，以及宣传方面工作。</w:t>
            </w:r>
          </w:p>
        </w:tc>
      </w:tr>
      <w:tr w14:paraId="795B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691" w:type="pct"/>
            <w:vAlign w:val="center"/>
          </w:tcPr>
          <w:p w14:paraId="66DE03CD">
            <w:pPr>
              <w:ind w:firstLine="0" w:firstLineChars="0"/>
              <w:jc w:val="center"/>
              <w:rPr>
                <w:rFonts w:hint="eastAsia"/>
                <w:sz w:val="24"/>
              </w:rPr>
            </w:pPr>
            <w:r>
              <w:rPr>
                <w:rFonts w:hint="eastAsia"/>
                <w:sz w:val="24"/>
              </w:rPr>
              <w:t>刘奕彤</w:t>
            </w:r>
          </w:p>
        </w:tc>
        <w:tc>
          <w:tcPr>
            <w:tcW w:w="1068" w:type="pct"/>
            <w:vAlign w:val="center"/>
          </w:tcPr>
          <w:p w14:paraId="6142C267">
            <w:pPr>
              <w:ind w:firstLine="0" w:firstLineChars="0"/>
            </w:pPr>
            <w:r>
              <w:rPr>
                <w:bCs/>
                <w:sz w:val="24"/>
              </w:rPr>
              <w:t>广西标准化协会</w:t>
            </w:r>
          </w:p>
        </w:tc>
        <w:tc>
          <w:tcPr>
            <w:tcW w:w="739" w:type="pct"/>
            <w:vAlign w:val="center"/>
          </w:tcPr>
          <w:p w14:paraId="33830CCF">
            <w:pPr>
              <w:ind w:firstLine="0" w:firstLineChars="0"/>
              <w:jc w:val="center"/>
              <w:rPr>
                <w:bCs/>
                <w:sz w:val="24"/>
              </w:rPr>
            </w:pPr>
            <w:r>
              <w:rPr>
                <w:rFonts w:hint="eastAsia"/>
                <w:bCs/>
                <w:sz w:val="24"/>
              </w:rPr>
              <w:t>汉语言文学</w:t>
            </w:r>
          </w:p>
        </w:tc>
        <w:tc>
          <w:tcPr>
            <w:tcW w:w="798" w:type="pct"/>
            <w:vAlign w:val="center"/>
          </w:tcPr>
          <w:p w14:paraId="52E918E1">
            <w:pPr>
              <w:ind w:firstLine="0" w:firstLineChars="0"/>
              <w:jc w:val="center"/>
            </w:pPr>
            <w:r>
              <w:rPr>
                <w:bCs/>
                <w:sz w:val="24"/>
              </w:rPr>
              <w:t>工程师</w:t>
            </w:r>
          </w:p>
        </w:tc>
        <w:tc>
          <w:tcPr>
            <w:tcW w:w="1704" w:type="pct"/>
            <w:vAlign w:val="center"/>
          </w:tcPr>
          <w:p w14:paraId="50376295">
            <w:pPr>
              <w:ind w:firstLine="0" w:firstLineChars="0"/>
              <w:rPr>
                <w:rFonts w:ascii="仿宋_GB2312"/>
                <w:color w:val="000000"/>
                <w:sz w:val="24"/>
              </w:rPr>
            </w:pPr>
            <w:r>
              <w:rPr>
                <w:rFonts w:hint="eastAsia" w:ascii="仿宋_GB2312"/>
                <w:color w:val="000000"/>
                <w:sz w:val="24"/>
              </w:rPr>
              <w:t>不断对标准提出修正意见，配合后期标准的宣贯实施，以及宣传方面工作。</w:t>
            </w:r>
          </w:p>
        </w:tc>
      </w:tr>
    </w:tbl>
    <w:p w14:paraId="0567EF15">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039476D1">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中国新茶饮行业经过多年高速增长后，已进入高质</w:t>
      </w:r>
      <w:bookmarkStart w:id="7" w:name="_GoBack"/>
      <w:bookmarkEnd w:id="7"/>
      <w:r>
        <w:rPr>
          <w:rFonts w:hint="eastAsia" w:ascii="仿宋_GB2312" w:hAnsi="仿宋_GB2312" w:cs="仿宋_GB2312"/>
          <w:szCs w:val="28"/>
        </w:rPr>
        <w:t>量发展的关键转型期。据艾媒咨询数据显示，2024年新茶饮市场规模达到3547.2亿元，但同比增长率仅为6.4％，较2021年51.9％的高点显著回落，预计未来几年增长率将持续走低。与此同时，行业竞争日趋激烈，截至2025年1月，国内茶饮门店总数约39.3万家，同比减少3.8万家，1年内新开门店11.1万家的同时，倒闭门店数量近15万家，市场洗牌效应明显。在这样的市场环境下，品质竞争已成为品牌生存的关键。艾瑞咨询数据显示，以GMV衡量，中国现制茶饮规模从2019年的1022亿元增至2024年的2720亿元，复合年增长率达21.7％，预计到2028年将达到4260亿元规模。庞大的市场规模与消费者需求升级，对原料品质提出了更高要求。然而，当前行业面临的突出问题是标准体系建设滞后于市场发展，尤其是在核心原料领域缺乏针对性规范，导致产品质量参差不齐，影响了消费者体验和行业信誉。头部企业已开始积极探索标准化之路，如喜茶推出业内首个“新茶饮健康标识体系”，建立了从原料准入到产品检测的全链条管理体系，并公布了3800多批次原料和产品检测结果，投入数百万元检测费用，抽检项目总数累计超过26,000个。这种企业自发的标准化实践虽有积极意义，但缺乏行业层面的统一规范，难以解决全行业的质量问题，亟需通过团体标准的形式建立统一规范。</w:t>
      </w:r>
    </w:p>
    <w:p w14:paraId="28674644">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茉莉花绿茶作为新茶饮的核心原料，其独特的工艺特性和品质特征决定了需要专门的标准进行规范。茉莉花茶制作技艺已被列入国家级非物质文化遗产名录，其中福州茉莉花茶窨制工艺有着近千年历史，包含茶坯处理、鲜花养护、堆窨、烘焙、转窨或提花等数十道精细工序。上好的茉莉花茶需根据年份、茶坯质地、气候的不同，经过6-9窨提花才能出厂，每一窨要经过2-3日，对温度、湿度、花的时机等都有严格要求。这种复杂的传统工艺在新茶饮应用中面临着现代化转型的挑战。近年来，新茶饮所选用茉莉花绿茶品质逐年提升，七窨、八窨高香茉莉绿茶产品屡见不鲜。但"窨"的定义、工艺参数、品质要求等缺乏统一标准，导致市场上产品品质差异巨大。一些产品采用天然窨制工艺，而部分低价产品可能使用香精调配，严重影响了茉莉花绿茶的市场声誉。与传统茉莉花茶相比，新茶饮所用的茉莉花绿茶有其特殊品质要求。传统国家标准GB/T 22292-2017主要强调色香味形等感官指标，而新茶饮对基底茶的要求更侧重花香物质的浸出效率、与乳制品的风味协调性等功能性指标，二者存在明显不匹配之处。这种差异使得传统标准难以适应新茶饮发展需求，亟需制定专门针对新茶饮应用场景的团体标准。</w:t>
      </w:r>
    </w:p>
    <w:p w14:paraId="273C18C6">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茉莉花绿茶在新茶饮中具有广泛的应用基础，已成为不可或缺的核心原料。对13家知名茶饮品牌390款在售产品的调研显示，茉莉花绿茶、红茶和乌龙茶是新式茶饮最常用茶底，应用占比分别为47.95％、17.95％和17.44％，合计占比超83％。其中，以茉莉花绿茶为基底开发的水果茶产品有126款，占比32.31％；醇香奶茶20款，占比5.13％，鲜奶茶18款，占比4.62％。</w:t>
      </w:r>
    </w:p>
    <w:p w14:paraId="18AB6008">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主要品牌纷纷将茉莉花绿茶作为核心原料开发爆款产品，如CoCo推出的"清香茉莉绿茶"主打"茉莉花香+清茶底"，号称"0添加蔗糖"；喜茶的"茉莉绿"系列产品也拥有庞大消费群体。市场反馈显示，优质茉莉花绿茶产品深受消费者喜爱，如CoCo清香茉莉绿茶因"清雅持久"的茶香和低糖分特点，成为25岁+追求自然风味的轻饮党首选。</w:t>
      </w:r>
    </w:p>
    <w:p w14:paraId="59802F72">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然而，市场繁荣背后隐藏着严重的品质管控问题。国茶实验室数据显示，不同花茶品类的市场接受度差异显著，玫瑰水仙以平均单月超847件的销量稳居顶流，而应用最广泛的茉莉绿茶单月销量仅29件，这种反差反映出产品品质不稳定导致的市场信任问题。由于缺乏统一标准，市场上的茉莉花绿茶产品在原料等级、窨制工艺、卫生指标等方面存在巨大差异，不仅影响了消费者体验，也造成了不正当竞争，阻碍了行业健康发展。</w:t>
      </w:r>
    </w:p>
    <w:p w14:paraId="5443C0AE">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现行标准体系与市场需求存在明显脱节。中国供销社杭州茶叶研究院专家指出，实施已近 8 年的 GB/T 22292-2017 茉莉花茶标准与新中式茶饮企业的实际需求存在一定差距。中肯茶业相关负责人也表示，现行国家标准主要针对传统茶叶市场，而新茶饮发展需要更具针对性的标准支撑。这种标准缺失状态严重制约了茉莉花绿茶在新茶饮领域的高质量应用。</w:t>
      </w:r>
    </w:p>
    <w:p w14:paraId="3A6158EF">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因此，制定《新茶饮用茶 茉莉花绿茶》团体标准是填补细分品类空白、规范市场秩序、保障消费安全、推动产业协同升级的关键举措，对促进新茶饮行业高质量发展、激活传统茶产业活力具有重要的现实意义与长远价值。</w:t>
      </w:r>
    </w:p>
    <w:p w14:paraId="09068D69">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三、主要起草过程</w:t>
      </w:r>
    </w:p>
    <w:p w14:paraId="7A5847AE">
      <w:pPr>
        <w:ind w:firstLine="643"/>
        <w:rPr>
          <w:rFonts w:ascii="仿宋_GB2312" w:hAnsi="仿宋_GB2312" w:cs="仿宋_GB2312"/>
          <w:szCs w:val="28"/>
        </w:rPr>
      </w:pPr>
      <w:r>
        <w:rPr>
          <w:rFonts w:hint="eastAsia" w:ascii="仿宋_GB2312" w:hAnsi="仿宋_GB2312" w:cs="仿宋_GB2312"/>
          <w:b/>
          <w:szCs w:val="28"/>
        </w:rPr>
        <w:t>（一）成立标准编制工作组</w:t>
      </w:r>
    </w:p>
    <w:p w14:paraId="69303274">
      <w:pPr>
        <w:ind w:firstLine="640"/>
        <w:rPr>
          <w:rFonts w:ascii="仿宋_GB2312" w:hAnsi="仿宋_GB2312" w:cs="仿宋_GB2312"/>
          <w:szCs w:val="28"/>
        </w:rPr>
      </w:pPr>
      <w:r>
        <w:rPr>
          <w:rFonts w:hint="eastAsia" w:ascii="仿宋_GB2312" w:hAnsi="仿宋_GB2312" w:cs="仿宋_GB2312"/>
          <w:szCs w:val="28"/>
        </w:rPr>
        <w:t>团体标准《新茶饮用茶  茉莉花绿茶》项目任务下达后，广西标准化协会成立了标准编制工作组，起草单位制定了起草编写方案与进度安排，明确任务职责，确定工作技术路线，开展标准研制工作。具体标准编制工作由广西标准化协会、广西茶叶流通协会、茶姬(上海)品牌管理有限公司、广西茶姬企业管理有限公司、广西南亚热带农业科学研究所、广西大学、横县南方茶厂、广西香茹怡茉茶业有限公司、广西金花茶业有限公司等单位负责人组成的标准编制工作组完成。</w:t>
      </w:r>
    </w:p>
    <w:p w14:paraId="61D4C802">
      <w:pPr>
        <w:ind w:firstLine="640"/>
        <w:rPr>
          <w:rFonts w:ascii="仿宋_GB2312" w:hAnsi="仿宋_GB2312" w:cs="仿宋_GB2312"/>
          <w:szCs w:val="28"/>
        </w:rPr>
      </w:pPr>
      <w:r>
        <w:rPr>
          <w:rFonts w:hint="eastAsia" w:ascii="仿宋_GB2312" w:hAnsi="仿宋_GB2312" w:cs="仿宋_GB2312"/>
          <w:szCs w:val="28"/>
        </w:rPr>
        <w:t>编制工作组下设三个组，分别是资料收集组、草案编写组、标准实施组。</w:t>
      </w:r>
    </w:p>
    <w:p w14:paraId="32E4D46F">
      <w:pPr>
        <w:ind w:firstLine="640"/>
        <w:rPr>
          <w:rFonts w:ascii="仿宋_GB2312" w:hAnsi="仿宋_GB2312" w:cs="仿宋_GB2312"/>
          <w:szCs w:val="28"/>
        </w:rPr>
      </w:pPr>
      <w:r>
        <w:rPr>
          <w:rFonts w:hint="eastAsia" w:ascii="仿宋_GB2312" w:hAnsi="仿宋_GB2312" w:cs="仿宋_GB2312"/>
          <w:szCs w:val="28"/>
        </w:rPr>
        <w:t>资料收集组负责国内外有关新茶饮用茶  茉莉花绿茶的文献资料的查询、收集和整理工作，查阅前人对新茶饮用茶  茉莉花绿茶的研究情况。</w:t>
      </w:r>
    </w:p>
    <w:p w14:paraId="111E4ABC">
      <w:pPr>
        <w:ind w:firstLine="640"/>
        <w:rPr>
          <w:rFonts w:ascii="仿宋_GB2312" w:hAnsi="仿宋_GB2312" w:cs="仿宋_GB2312"/>
          <w:szCs w:val="28"/>
        </w:rPr>
      </w:pPr>
      <w:r>
        <w:rPr>
          <w:rFonts w:hint="eastAsia" w:ascii="仿宋_GB2312" w:hAnsi="仿宋_GB2312" w:cs="仿宋_GB2312"/>
          <w:szCs w:val="28"/>
        </w:rPr>
        <w:t>草案编写组负责起草标准草案、征求意见稿和标准编制说明、送审稿及编制说明的编写工作，包括后期召开征求意见会、网上征求意见，以及标准的不断修改和完善。</w:t>
      </w:r>
    </w:p>
    <w:p w14:paraId="78C25F57">
      <w:pPr>
        <w:ind w:firstLine="640"/>
        <w:rPr>
          <w:rFonts w:ascii="仿宋_GB2312" w:hAnsi="仿宋_GB2312" w:cs="仿宋_GB2312"/>
          <w:szCs w:val="28"/>
        </w:rPr>
      </w:pPr>
      <w:r>
        <w:rPr>
          <w:rFonts w:hint="eastAsia" w:ascii="仿宋_GB2312" w:hAnsi="仿宋_GB2312" w:cs="仿宋_GB2312"/>
          <w:szCs w:val="28"/>
        </w:rPr>
        <w:t>标准实施组负责团体标准《新茶饮用茶  茉莉花绿茶》发布后，组织相关企事业单位开展标准宣贯培训会，对标准进行详细解读，让相关人员了解标准，并根据标准对横县茉莉花种植基地进行规范化管理，并对标准实施情况进行总结分析，不断对团体标准提出修正意见。</w:t>
      </w:r>
    </w:p>
    <w:p w14:paraId="08862AE7">
      <w:pPr>
        <w:ind w:firstLine="643"/>
        <w:rPr>
          <w:rFonts w:ascii="仿宋_GB2312" w:hAnsi="仿宋_GB2312" w:cs="仿宋_GB2312"/>
          <w:b/>
          <w:szCs w:val="28"/>
        </w:rPr>
      </w:pPr>
      <w:r>
        <w:rPr>
          <w:rFonts w:hint="eastAsia" w:ascii="仿宋_GB2312" w:hAnsi="仿宋_GB2312" w:cs="仿宋_GB2312"/>
          <w:b/>
          <w:szCs w:val="28"/>
        </w:rPr>
        <w:t>（二）收集整理文献资料</w:t>
      </w:r>
    </w:p>
    <w:p w14:paraId="2E0673F4">
      <w:pPr>
        <w:ind w:firstLine="640"/>
        <w:rPr>
          <w:rFonts w:ascii="仿宋_GB2312" w:hAnsi="仿宋_GB2312" w:cs="仿宋_GB2312"/>
          <w:szCs w:val="28"/>
          <w:lang w:val="fr-FR"/>
        </w:rPr>
      </w:pPr>
      <w:r>
        <w:rPr>
          <w:rFonts w:hint="eastAsia" w:ascii="仿宋_GB2312" w:hAnsi="仿宋_GB2312" w:cs="仿宋_GB2312"/>
          <w:szCs w:val="28"/>
        </w:rPr>
        <w:t>标准编制工作组收集了国内有关新茶饮用茶  茉莉花绿茶相关的资料。主要有</w:t>
      </w:r>
      <w:r>
        <w:rPr>
          <w:rFonts w:hint="eastAsia" w:ascii="仿宋_GB2312" w:hAnsi="仿宋_GB2312" w:cs="仿宋_GB2312"/>
          <w:szCs w:val="28"/>
          <w:lang w:val="fr-FR"/>
        </w:rPr>
        <w:t>：</w:t>
      </w:r>
    </w:p>
    <w:p w14:paraId="39B3D121">
      <w:pPr>
        <w:ind w:firstLine="640"/>
        <w:rPr>
          <w:rFonts w:ascii="仿宋_GB2312" w:hAnsi="仿宋_GB2312" w:cs="仿宋_GB2312"/>
          <w:szCs w:val="28"/>
        </w:rPr>
      </w:pPr>
      <w:r>
        <w:rPr>
          <w:rFonts w:hint="eastAsia" w:ascii="仿宋_GB2312" w:hAnsi="仿宋_GB2312" w:cs="仿宋_GB2312"/>
          <w:szCs w:val="28"/>
        </w:rPr>
        <w:t>《T/GZTPA 0021—2025  贵州新茶饮原料茶 精制茉莉花绿茶》</w:t>
      </w:r>
    </w:p>
    <w:p w14:paraId="7368E56B">
      <w:pPr>
        <w:ind w:firstLine="640"/>
        <w:rPr>
          <w:rFonts w:ascii="仿宋_GB2312" w:hAnsi="仿宋_GB2312" w:cs="仿宋_GB2312"/>
          <w:szCs w:val="28"/>
        </w:rPr>
      </w:pPr>
      <w:r>
        <w:rPr>
          <w:rFonts w:hint="eastAsia" w:ascii="仿宋_GB2312" w:hAnsi="仿宋_GB2312" w:cs="仿宋_GB2312"/>
          <w:szCs w:val="28"/>
        </w:rPr>
        <w:t>《T/GZTA 002—2025  贵州新茶饮原料基本要求》</w:t>
      </w:r>
    </w:p>
    <w:p w14:paraId="15387D3A">
      <w:pPr>
        <w:ind w:firstLine="640"/>
        <w:rPr>
          <w:rFonts w:ascii="仿宋_GB2312" w:hAnsi="仿宋_GB2312" w:cs="仿宋_GB2312"/>
          <w:szCs w:val="28"/>
        </w:rPr>
      </w:pPr>
      <w:r>
        <w:rPr>
          <w:rFonts w:hint="eastAsia" w:ascii="仿宋_GB2312" w:hAnsi="仿宋_GB2312" w:cs="仿宋_GB2312"/>
          <w:szCs w:val="28"/>
        </w:rPr>
        <w:t>《T/GZTA 001—2025  贵州新茶饮技能大赛技术规程》</w:t>
      </w:r>
    </w:p>
    <w:p w14:paraId="1616164A">
      <w:pPr>
        <w:ind w:firstLine="640"/>
        <w:rPr>
          <w:rFonts w:ascii="仿宋_GB2312" w:hAnsi="仿宋_GB2312" w:cs="仿宋_GB2312"/>
          <w:szCs w:val="28"/>
        </w:rPr>
      </w:pPr>
      <w:r>
        <w:rPr>
          <w:rFonts w:hint="eastAsia" w:ascii="仿宋_GB2312" w:hAnsi="仿宋_GB2312" w:cs="仿宋_GB2312"/>
          <w:szCs w:val="28"/>
        </w:rPr>
        <w:t>《T/ZJSZJJ 0001—2025  新茶饮门店数字化运营规范》</w:t>
      </w:r>
    </w:p>
    <w:p w14:paraId="64A73A13">
      <w:pPr>
        <w:ind w:firstLine="640"/>
        <w:rPr>
          <w:rFonts w:ascii="仿宋_GB2312" w:hAnsi="仿宋_GB2312" w:cs="仿宋_GB2312"/>
          <w:szCs w:val="28"/>
        </w:rPr>
      </w:pPr>
      <w:r>
        <w:rPr>
          <w:rFonts w:hint="eastAsia" w:ascii="仿宋_GB2312" w:hAnsi="仿宋_GB2312" w:cs="仿宋_GB2312"/>
          <w:szCs w:val="28"/>
        </w:rPr>
        <w:t>《T/ESSE 002—2022  恩施新茶饮制作规范》</w:t>
      </w:r>
    </w:p>
    <w:p w14:paraId="54595092">
      <w:pPr>
        <w:ind w:firstLine="643"/>
        <w:rPr>
          <w:rFonts w:ascii="仿宋_GB2312" w:hAnsi="仿宋_GB2312" w:cs="仿宋_GB2312"/>
          <w:b/>
          <w:szCs w:val="28"/>
        </w:rPr>
      </w:pPr>
      <w:r>
        <w:rPr>
          <w:rFonts w:hint="eastAsia" w:ascii="仿宋_GB2312" w:hAnsi="仿宋_GB2312" w:cs="仿宋_GB2312"/>
          <w:b/>
          <w:szCs w:val="28"/>
        </w:rPr>
        <w:t>（三）研讨确定标准特色、创新点和主体内容</w:t>
      </w:r>
    </w:p>
    <w:p w14:paraId="051A1C59">
      <w:pPr>
        <w:ind w:firstLine="640"/>
        <w:rPr>
          <w:rFonts w:ascii="仿宋_GB2312" w:hAnsi="仿宋_GB2312" w:cs="仿宋_GB2312"/>
          <w:szCs w:val="28"/>
        </w:rPr>
      </w:pPr>
      <w:r>
        <w:rPr>
          <w:rFonts w:hint="eastAsia" w:ascii="仿宋_GB2312" w:hAnsi="仿宋_GB2312" w:cs="仿宋_GB2312"/>
          <w:szCs w:val="28"/>
        </w:rPr>
        <w:t>1、特色和创新点</w:t>
      </w:r>
    </w:p>
    <w:p w14:paraId="1797BAAA">
      <w:pPr>
        <w:ind w:firstLine="640"/>
        <w:rPr>
          <w:rFonts w:ascii="仿宋_GB2312" w:hAnsi="仿宋_GB2312" w:cs="仿宋_GB2312"/>
          <w:szCs w:val="28"/>
        </w:rPr>
      </w:pPr>
      <w:r>
        <w:rPr>
          <w:rFonts w:hint="eastAsia" w:ascii="仿宋_GB2312" w:hAnsi="仿宋_GB2312" w:cs="仿宋_GB2312"/>
          <w:szCs w:val="28"/>
        </w:rPr>
        <w:t>（1）本标准是首个专门针对“新茶饮”场景的绿茶原料标准。它打破了传统绿茶标准以“外形”为重的逻辑，将核心关注点转向风味稳定性、冲泡适配性（出汤速度、耐泡度）和工业化加工兼容性，精准解决了新茶饮行业长期缺乏专用原料标准的痛点。</w:t>
      </w:r>
    </w:p>
    <w:p w14:paraId="09A89B7A">
      <w:pPr>
        <w:ind w:firstLine="640"/>
        <w:rPr>
          <w:rFonts w:ascii="仿宋_GB2312" w:hAnsi="仿宋_GB2312" w:cs="仿宋_GB2312"/>
          <w:szCs w:val="28"/>
        </w:rPr>
      </w:pPr>
      <w:r>
        <w:rPr>
          <w:rFonts w:hint="eastAsia" w:ascii="仿宋_GB2312" w:hAnsi="仿宋_GB2312" w:cs="仿宋_GB2312"/>
          <w:szCs w:val="28"/>
        </w:rPr>
        <w:t>（2）标准将感官评价重心从“外形”转向直接影响茶饮口感的“香气”和“滋味”，并引入调饮场景下的感官评价方法：1）将香气细分为“底香”（干茶香）、“水香”（茶汤与奶、糖混合后的香气）、“吞咽茶汤前香气”三个维度，分别评判。2）引入“茶味与牛乳、糖浆融合、协调，层次丰富”等评判维度，直接评估茶叶作为基底茶与辅料搭配的表现，这是传统茶叶标准中从未有过的评价维度。3）明确规定“茶汤100mL与30mL液态纯牛乳和8g全蔗糖糖浆混匀后”进行滋味审评，使感官评价结果直接反映产品在新茶饮场景下的实际表现，而非传统冲泡场景。</w:t>
      </w:r>
    </w:p>
    <w:p w14:paraId="6BCD2ADA">
      <w:pPr>
        <w:ind w:firstLine="640"/>
        <w:rPr>
          <w:rFonts w:ascii="仿宋_GB2312" w:hAnsi="仿宋_GB2312" w:cs="仿宋_GB2312"/>
          <w:szCs w:val="28"/>
        </w:rPr>
      </w:pPr>
      <w:r>
        <w:rPr>
          <w:rFonts w:hint="eastAsia" w:ascii="仿宋_GB2312" w:hAnsi="仿宋_GB2312" w:cs="仿宋_GB2312"/>
          <w:szCs w:val="28"/>
        </w:rPr>
        <w:t>（3）标准将产品分为特种、特级、一级、二级、三级、四级、五级共七个等级。感官要求表中，各等级在香气、滋味浓度、融合度、苦涩度、滋味持久性等指标上均有逐级递进的差异化描述。这种精细化的等级划分，为生产者提供了清晰的质量提升路径，也为采购方提供了精准的选品依据。</w:t>
      </w:r>
    </w:p>
    <w:p w14:paraId="7F2A67B5">
      <w:pPr>
        <w:ind w:firstLine="640"/>
        <w:rPr>
          <w:rFonts w:ascii="仿宋_GB2312" w:hAnsi="仿宋_GB2312" w:cs="仿宋_GB2312"/>
          <w:szCs w:val="28"/>
        </w:rPr>
      </w:pPr>
      <w:r>
        <w:rPr>
          <w:rFonts w:hint="eastAsia" w:ascii="仿宋_GB2312" w:hAnsi="仿宋_GB2312" w:cs="仿宋_GB2312"/>
          <w:szCs w:val="28"/>
        </w:rPr>
        <w:t>(4)本标准在理化指标的设定上，形成了区别于传统茉莉花茶标准（GB/T 22292）的鲜明特征——传统标准理化指标相对宽松，以保障底线为主要功能；而本标准构建了以“水浸出物（浓度保障）—粉末（适配性）—洁白茉莉花干（纯净度）”为核心的应用导向指标体系。水浸出物指标特种/特级≥38.0％、一级/二级≥36.0％、三级～五级≥34.0％，显著高于GB/T 22292中特种～二级≥34.0％、三～五级≥32.0％的要求，直接回应了新茶饮行业对茶基底“高浓度、高性价比、高稳定性”的原料需求。</w:t>
      </w:r>
    </w:p>
    <w:p w14:paraId="0E9B6AB4">
      <w:pPr>
        <w:ind w:firstLine="640"/>
        <w:rPr>
          <w:rFonts w:ascii="仿宋_GB2312" w:hAnsi="仿宋_GB2312" w:cs="仿宋_GB2312"/>
          <w:szCs w:val="28"/>
        </w:rPr>
      </w:pPr>
      <w:r>
        <w:rPr>
          <w:rFonts w:hint="eastAsia" w:ascii="仿宋_GB2312" w:hAnsi="仿宋_GB2312" w:cs="仿宋_GB2312"/>
          <w:szCs w:val="28"/>
        </w:rPr>
        <w:t>2、主体内容</w:t>
      </w:r>
    </w:p>
    <w:p w14:paraId="3B269AC6">
      <w:pPr>
        <w:ind w:firstLine="640"/>
        <w:rPr>
          <w:rFonts w:ascii="仿宋_GB2312" w:hAnsi="仿宋_GB2312" w:cs="仿宋_GB2312"/>
          <w:szCs w:val="28"/>
        </w:rPr>
      </w:pPr>
      <w:r>
        <w:rPr>
          <w:rFonts w:hint="eastAsia" w:ascii="仿宋_GB2312" w:hAnsi="仿宋_GB2312" w:cs="仿宋_GB2312"/>
          <w:szCs w:val="28"/>
        </w:rPr>
        <w:t>标准编制工作组在对收集的资料进行整理研究之后，准编制工作组召开了标准编制会议，对标准的整体框架结构进行了研究，并对标准的关键性内容进行了初步探讨。经过研究，标准的主体内容确定为术语和定义、等级、</w:t>
      </w:r>
      <w:r>
        <w:rPr>
          <w:rFonts w:hint="eastAsia"/>
        </w:rPr>
        <w:t>质量要求、检验方法、检验规则、标志、标签、包装、运输、贮存</w:t>
      </w:r>
      <w:r>
        <w:rPr>
          <w:rFonts w:hint="eastAsia" w:ascii="仿宋_GB2312" w:hAnsi="仿宋_GB2312" w:cs="仿宋_GB2312"/>
          <w:szCs w:val="28"/>
        </w:rPr>
        <w:t>。</w:t>
      </w:r>
    </w:p>
    <w:p w14:paraId="468460B3">
      <w:pPr>
        <w:ind w:firstLine="643"/>
        <w:rPr>
          <w:rFonts w:ascii="仿宋_GB2312" w:hAnsi="仿宋_GB2312" w:cs="仿宋_GB2312"/>
          <w:b/>
          <w:szCs w:val="28"/>
        </w:rPr>
      </w:pPr>
      <w:r>
        <w:rPr>
          <w:rFonts w:hint="eastAsia" w:ascii="仿宋_GB2312" w:hAnsi="仿宋_GB2312" w:cs="仿宋_GB2312"/>
          <w:b/>
          <w:szCs w:val="28"/>
        </w:rPr>
        <w:t>（四）调研及形成草案、征求意见稿</w:t>
      </w:r>
    </w:p>
    <w:p w14:paraId="374080CF">
      <w:pPr>
        <w:ind w:firstLine="640"/>
        <w:rPr>
          <w:rFonts w:ascii="仿宋_GB2312" w:hAnsi="仿宋_GB2312" w:cs="仿宋_GB2312"/>
          <w:szCs w:val="28"/>
        </w:rPr>
      </w:pPr>
      <w:r>
        <w:rPr>
          <w:rFonts w:hint="eastAsia" w:ascii="仿宋_GB2312" w:hAnsi="仿宋_GB2312" w:cs="仿宋_GB2312"/>
          <w:szCs w:val="28"/>
        </w:rPr>
        <w:t>2026年1月～3月，标准起草工作小组前往横州市香茹怡茉茶饮有限公司、广西壮族自治区横县郁江茶厂、横州心怡香料有限公司、横州市花茶协会等单位进行了广泛调研工作，查阅了大量的国内外文献资料，对新茶饮用茶绿茶的前人研究成果进行系统总结。形成了标准的基本构架，对主要内容进行了讨论并对项目的工作进行了部署和安排。</w:t>
      </w:r>
    </w:p>
    <w:p w14:paraId="50FFD1A8">
      <w:pPr>
        <w:ind w:firstLine="640"/>
        <w:rPr>
          <w:rFonts w:ascii="仿宋_GB2312" w:hAnsi="仿宋_GB2312" w:cs="仿宋_GB2312"/>
          <w:szCs w:val="28"/>
        </w:rPr>
      </w:pPr>
      <w:r>
        <w:rPr>
          <w:rFonts w:hint="eastAsia" w:ascii="仿宋_GB2312" w:hAnsi="仿宋_GB2312" w:cs="仿宋_GB2312"/>
          <w:szCs w:val="28"/>
        </w:rPr>
        <w:t>2026年4月～5月，在前期工作的基础之上，通过理清逻辑脉络，整合已有的参考资料中有关新茶饮用茶茉莉花绿茶要求，并结合新茶饮用茶茉莉花绿茶实际要求的基础上，按照简化、统一等原则编制完成团体标准《新茶饮用茶  茉莉花绿茶》（草案）。</w:t>
      </w:r>
    </w:p>
    <w:p w14:paraId="53967B0A">
      <w:pPr>
        <w:ind w:firstLine="640"/>
        <w:rPr>
          <w:rFonts w:ascii="仿宋_GB2312" w:hAnsi="仿宋_GB2312" w:cs="仿宋_GB2312"/>
          <w:szCs w:val="28"/>
        </w:rPr>
      </w:pPr>
      <w:r>
        <w:rPr>
          <w:rFonts w:hint="eastAsia" w:ascii="仿宋_GB2312" w:hAnsi="仿宋_GB2312" w:cs="仿宋_GB2312"/>
          <w:szCs w:val="28"/>
        </w:rPr>
        <w:t>2026年6月～7月，标准起草工作组组织横县南方茶厂/广西莉香茶业集团有限公司、广西金花茶业有限公司、广西香茹怡茉茶业有限公司、横州市香茹怡茉茶饮有限公司、广西壮族自治区横县郁江茶厂、横州心怡香料有限公司、横县金源花茶行等相关单位召开座谈会进行讨论，并实际征求意见，通过收集反馈了大量意见，标准编制工作组多次召开会议，对标准草案进行了反复修改和研究讨论。进一步讨论完善标准草案，形成团体标准《新茶饮用茶  茉莉花绿茶》（征求意见稿）和（征求意见稿）编制说明。</w:t>
      </w:r>
      <w:bookmarkStart w:id="4" w:name="_Toc526940083"/>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87"/>
        <w:gridCol w:w="4587"/>
      </w:tblGrid>
      <w:tr w14:paraId="663D9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87" w:type="dxa"/>
          </w:tcPr>
          <w:p w14:paraId="16AC17A2">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2879725" cy="2159635"/>
                  <wp:effectExtent l="0" t="0" r="0" b="0"/>
                  <wp:docPr id="3" name="图片 3" descr="D:\我的文档\xwechat_files\wxid_v3j52f42taun22_f98f\temp\RWTemp\2026-08\a5a5a3a9d4b7c9d29f737e515a251a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我的文档\xwechat_files\wxid_v3j52f42taun22_f98f\temp\RWTemp\2026-08\a5a5a3a9d4b7c9d29f737e515a251a6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880000" cy="2160000"/>
                          </a:xfrm>
                          <a:prstGeom prst="rect">
                            <a:avLst/>
                          </a:prstGeom>
                          <a:noFill/>
                          <a:ln>
                            <a:noFill/>
                          </a:ln>
                        </pic:spPr>
                      </pic:pic>
                    </a:graphicData>
                  </a:graphic>
                </wp:inline>
              </w:drawing>
            </w:r>
          </w:p>
        </w:tc>
        <w:tc>
          <w:tcPr>
            <w:tcW w:w="4587" w:type="dxa"/>
          </w:tcPr>
          <w:p w14:paraId="22DD5140">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2879725" cy="2159635"/>
                  <wp:effectExtent l="0" t="0" r="0" b="0"/>
                  <wp:docPr id="4" name="图片 4" descr="D:\我的文档\xwechat_files\wxid_v3j52f42taun22_f98f\temp\RWTemp\2026-08\5acb8292d693eeab27b58835d19823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我的文档\xwechat_files\wxid_v3j52f42taun22_f98f\temp\RWTemp\2026-08\5acb8292d693eeab27b58835d1982314.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80000" cy="2160000"/>
                          </a:xfrm>
                          <a:prstGeom prst="rect">
                            <a:avLst/>
                          </a:prstGeom>
                          <a:noFill/>
                          <a:ln>
                            <a:noFill/>
                          </a:ln>
                        </pic:spPr>
                      </pic:pic>
                    </a:graphicData>
                  </a:graphic>
                </wp:inline>
              </w:drawing>
            </w:r>
          </w:p>
        </w:tc>
      </w:tr>
      <w:tr w14:paraId="33505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87" w:type="dxa"/>
          </w:tcPr>
          <w:p w14:paraId="49E34E53">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2879725" cy="2159635"/>
                  <wp:effectExtent l="0" t="0" r="0" b="0"/>
                  <wp:docPr id="5" name="图片 5" descr="D:\我的文档\xwechat_files\wxid_v3j52f42taun22_f98f\temp\RWTemp\2026-08\9227b994281ba9d2d775592d8d1b17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我的文档\xwechat_files\wxid_v3j52f42taun22_f98f\temp\RWTemp\2026-08\9227b994281ba9d2d775592d8d1b17ac.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80000" cy="2160000"/>
                          </a:xfrm>
                          <a:prstGeom prst="rect">
                            <a:avLst/>
                          </a:prstGeom>
                          <a:noFill/>
                          <a:ln>
                            <a:noFill/>
                          </a:ln>
                        </pic:spPr>
                      </pic:pic>
                    </a:graphicData>
                  </a:graphic>
                </wp:inline>
              </w:drawing>
            </w:r>
          </w:p>
        </w:tc>
        <w:tc>
          <w:tcPr>
            <w:tcW w:w="4587" w:type="dxa"/>
          </w:tcPr>
          <w:p w14:paraId="068B602F">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2879725" cy="2159635"/>
                  <wp:effectExtent l="0" t="0" r="0" b="0"/>
                  <wp:docPr id="6" name="图片 6" descr="D:\我的文档\xwechat_files\wxid_v3j52f42taun22_f98f\temp\RWTemp\2026-08\1b2c0564673c965e4beab7b3a6c910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我的文档\xwechat_files\wxid_v3j52f42taun22_f98f\temp\RWTemp\2026-08\1b2c0564673c965e4beab7b3a6c910be.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80000" cy="2160000"/>
                          </a:xfrm>
                          <a:prstGeom prst="rect">
                            <a:avLst/>
                          </a:prstGeom>
                          <a:noFill/>
                          <a:ln>
                            <a:noFill/>
                          </a:ln>
                        </pic:spPr>
                      </pic:pic>
                    </a:graphicData>
                  </a:graphic>
                </wp:inline>
              </w:drawing>
            </w:r>
          </w:p>
        </w:tc>
      </w:tr>
      <w:tr w14:paraId="2F014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87" w:type="dxa"/>
          </w:tcPr>
          <w:p w14:paraId="6C3C5020">
            <w:pPr>
              <w:ind w:firstLine="0" w:firstLineChars="0"/>
              <w:jc w:val="center"/>
              <w:rPr>
                <w:rFonts w:ascii="仿宋_GB2312" w:hAnsi="仿宋_GB2312" w:cs="仿宋_GB2312"/>
                <w:szCs w:val="28"/>
              </w:rPr>
            </w:pPr>
            <w:r>
              <w:rPr>
                <w:rFonts w:ascii="宋体"/>
              </w:rPr>
              <w:drawing>
                <wp:inline distT="0" distB="0" distL="0" distR="0">
                  <wp:extent cx="2562225" cy="31921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2561904" cy="3192249"/>
                          </a:xfrm>
                          <a:prstGeom prst="rect">
                            <a:avLst/>
                          </a:prstGeom>
                        </pic:spPr>
                      </pic:pic>
                    </a:graphicData>
                  </a:graphic>
                </wp:inline>
              </w:drawing>
            </w:r>
          </w:p>
        </w:tc>
        <w:tc>
          <w:tcPr>
            <w:tcW w:w="4587" w:type="dxa"/>
          </w:tcPr>
          <w:p w14:paraId="281DD0BD">
            <w:pPr>
              <w:ind w:firstLine="0" w:firstLineChars="0"/>
              <w:jc w:val="center"/>
              <w:rPr>
                <w:rFonts w:ascii="仿宋_GB2312" w:hAnsi="仿宋_GB2312" w:cs="仿宋_GB2312"/>
                <w:szCs w:val="28"/>
              </w:rPr>
            </w:pPr>
            <w:r>
              <w:rPr>
                <w:rFonts w:ascii="宋体"/>
              </w:rPr>
              <w:drawing>
                <wp:inline distT="0" distB="0" distL="0" distR="0">
                  <wp:extent cx="2489200" cy="33528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489318" cy="3352800"/>
                          </a:xfrm>
                          <a:prstGeom prst="rect">
                            <a:avLst/>
                          </a:prstGeom>
                        </pic:spPr>
                      </pic:pic>
                    </a:graphicData>
                  </a:graphic>
                </wp:inline>
              </w:drawing>
            </w:r>
          </w:p>
        </w:tc>
      </w:tr>
      <w:tr w14:paraId="0F286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gridSpan w:val="2"/>
          </w:tcPr>
          <w:p w14:paraId="3BBC39A6">
            <w:pPr>
              <w:ind w:firstLine="0" w:firstLineChars="0"/>
              <w:jc w:val="center"/>
              <w:rPr>
                <w:rFonts w:ascii="仿宋_GB2312" w:hAnsi="仿宋_GB2312" w:cs="仿宋_GB2312"/>
                <w:szCs w:val="28"/>
              </w:rPr>
            </w:pPr>
            <w:r>
              <w:rPr>
                <w:rFonts w:hint="eastAsia" w:ascii="仿宋_GB2312" w:hAnsi="仿宋_GB2312" w:cs="仿宋_GB2312"/>
                <w:szCs w:val="28"/>
              </w:rPr>
              <w:t>2026年6月23日编制组横州讨论及调研走访相关图片</w:t>
            </w:r>
          </w:p>
        </w:tc>
      </w:tr>
    </w:tbl>
    <w:p w14:paraId="038819CA">
      <w:pPr>
        <w:ind w:firstLine="640"/>
        <w:rPr>
          <w:rFonts w:ascii="黑体" w:hAnsi="黑体" w:eastAsia="黑体" w:cs="仿宋_GB2312"/>
          <w:bCs/>
          <w:szCs w:val="32"/>
        </w:rPr>
      </w:pPr>
      <w:r>
        <w:rPr>
          <w:rFonts w:hint="eastAsia" w:ascii="黑体" w:hAnsi="黑体" w:eastAsia="黑体" w:cs="仿宋_GB2312"/>
          <w:bCs/>
          <w:szCs w:val="32"/>
        </w:rPr>
        <w:t>四、</w:t>
      </w:r>
      <w:bookmarkEnd w:id="4"/>
      <w:r>
        <w:rPr>
          <w:rFonts w:hint="eastAsia" w:ascii="黑体" w:hAnsi="黑体" w:eastAsia="黑体" w:cs="仿宋_GB2312"/>
          <w:bCs/>
          <w:szCs w:val="32"/>
        </w:rPr>
        <w:t>制定标准的原则和依据，与现行法律、法规的关系，与有关国家标准、行业标准的协调情况</w:t>
      </w:r>
    </w:p>
    <w:p w14:paraId="4F102E2F">
      <w:pPr>
        <w:pStyle w:val="11"/>
        <w:ind w:firstLine="0" w:firstLineChars="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14:paraId="289D9615">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1、实用性原则</w:t>
      </w:r>
    </w:p>
    <w:p w14:paraId="24F18898">
      <w:pPr>
        <w:ind w:firstLine="640"/>
        <w:rPr>
          <w:rFonts w:ascii="仿宋_GB2312" w:hAnsi="仿宋_GB2312" w:cs="仿宋_GB2312"/>
          <w:szCs w:val="28"/>
        </w:rPr>
      </w:pPr>
      <w:r>
        <w:rPr>
          <w:rFonts w:hint="eastAsia" w:ascii="仿宋_GB2312" w:hAnsi="仿宋_GB2312" w:cs="仿宋_GB2312"/>
          <w:szCs w:val="28"/>
        </w:rPr>
        <w:t>本文件是在充分收集相关资料和文献，分析新茶饮用茶  茉莉花绿茶当前现状，在现有相关新茶饮用茶  茉莉花绿茶要求的基础上，结合编制单位多年相关经验而总结起草的，符合当前新茶饮用茶  茉莉花绿茶发展的方向，具有较强的实用性和可操作性。</w:t>
      </w:r>
    </w:p>
    <w:p w14:paraId="73A10EC9">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2、协调性原则</w:t>
      </w:r>
    </w:p>
    <w:p w14:paraId="5FB829FC">
      <w:pPr>
        <w:ind w:firstLine="640"/>
        <w:rPr>
          <w:rFonts w:ascii="仿宋_GB2312" w:hAnsi="仿宋_GB2312" w:cs="仿宋_GB2312"/>
          <w:szCs w:val="28"/>
        </w:rPr>
      </w:pPr>
      <w:r>
        <w:rPr>
          <w:rFonts w:hint="eastAsia" w:ascii="仿宋_GB2312" w:hAnsi="仿宋_GB2312" w:cs="仿宋_GB2312"/>
          <w:szCs w:val="28"/>
        </w:rPr>
        <w:t>本文件编写过程中注意了与新茶饮用茶  茉莉花绿茶的相关法律法规的协调问题，在内容上与现行法律法规、标准协调一致。</w:t>
      </w:r>
    </w:p>
    <w:p w14:paraId="66A89D70">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3、规范性原则</w:t>
      </w:r>
    </w:p>
    <w:p w14:paraId="7040651C">
      <w:pPr>
        <w:ind w:firstLine="640"/>
        <w:rPr>
          <w:rFonts w:ascii="仿宋_GB2312" w:hAnsi="仿宋_GB2312" w:cs="仿宋_GB2312"/>
          <w:szCs w:val="28"/>
        </w:rPr>
      </w:pPr>
      <w:r>
        <w:rPr>
          <w:rFonts w:hint="eastAsia" w:ascii="仿宋_GB2312" w:hAnsi="仿宋_GB2312" w:cs="仿宋_GB2312"/>
          <w:szCs w:val="28"/>
        </w:rPr>
        <w:t>本文件严格参照GB/T 1.1—2020《标准化工作导则  第1部分：标准化文件的结构和起草规则》编写本标准的内容，保证标准的编写质量。</w:t>
      </w:r>
    </w:p>
    <w:p w14:paraId="1D63E9B6">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4、前瞻性原则</w:t>
      </w:r>
    </w:p>
    <w:p w14:paraId="607A71CA">
      <w:pPr>
        <w:ind w:firstLine="640"/>
        <w:rPr>
          <w:rFonts w:ascii="仿宋_GB2312" w:hAnsi="仿宋_GB2312" w:cs="仿宋_GB2312"/>
          <w:szCs w:val="28"/>
        </w:rPr>
      </w:pPr>
      <w:r>
        <w:rPr>
          <w:rFonts w:hint="eastAsia" w:ascii="仿宋_GB2312" w:hAnsi="仿宋_GB2312" w:cs="仿宋_GB2312"/>
          <w:szCs w:val="28"/>
        </w:rPr>
        <w:t>本文件在兼顾当前区内新茶饮用茶茉莉花绿茶的现实情况的同时，还考虑到了新茶饮用茶茉莉花绿茶快速发展的趋势和需要，在标准中体现了个别特色性、前瞻性和先进性条款，作为对新茶饮用茶茉莉花绿茶工作发展的指导。</w:t>
      </w:r>
    </w:p>
    <w:p w14:paraId="6CBCD9CA">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（二）编制依据</w:t>
      </w:r>
    </w:p>
    <w:p w14:paraId="66CD6BE0">
      <w:pPr>
        <w:ind w:firstLine="640"/>
        <w:rPr>
          <w:rFonts w:ascii="仿宋_GB2312" w:hAnsi="仿宋_GB2312" w:cs="仿宋_GB2312"/>
          <w:szCs w:val="32"/>
        </w:rPr>
      </w:pPr>
      <w:r>
        <w:rPr>
          <w:rFonts w:hint="eastAsia" w:ascii="仿宋_GB2312" w:hAnsi="仿宋_GB2312" w:cs="仿宋_GB2312"/>
          <w:szCs w:val="32"/>
        </w:rPr>
        <w:t>本标准严格按照GB/T 1.1—2020《标准化工作导则  第1部分：标准化文件的结构和起草规则》的规则起草，标准主要内容参考相关标准文件并结合起草单位多年的相关经验和实践验证情况总结进行起草。</w:t>
      </w:r>
    </w:p>
    <w:p w14:paraId="5EE5E459">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（三）与现行法律、法规的关系，与有关国家标准、行业标准的协调情况</w:t>
      </w:r>
    </w:p>
    <w:p w14:paraId="24D8FCFD">
      <w:pPr>
        <w:ind w:firstLine="640"/>
        <w:rPr>
          <w:rFonts w:ascii="仿宋_GB2312" w:hAnsi="仿宋_GB2312" w:cs="仿宋_GB2312"/>
          <w:szCs w:val="32"/>
        </w:rPr>
      </w:pPr>
      <w:r>
        <w:rPr>
          <w:rFonts w:hint="eastAsia" w:ascii="仿宋_GB2312" w:hAnsi="仿宋_GB2312" w:cs="仿宋_GB2312"/>
          <w:szCs w:val="32"/>
        </w:rPr>
        <w:t>本编制工作组承诺本标准内容与各项指标不违反相关法律法规要求，且不低于国家强制性标准、推荐性国家标准和行业标准要求。</w:t>
      </w:r>
    </w:p>
    <w:p w14:paraId="3E1F6455">
      <w:pPr>
        <w:ind w:firstLine="640"/>
        <w:rPr>
          <w:rFonts w:ascii="仿宋_GB2312" w:hAnsi="仿宋_GB2312" w:cs="仿宋_GB2312"/>
          <w:szCs w:val="28"/>
        </w:rPr>
      </w:pPr>
      <w:r>
        <w:rPr>
          <w:rFonts w:hint="eastAsia" w:ascii="仿宋_GB2312" w:hAnsi="仿宋_GB2312" w:cs="仿宋_GB2312"/>
          <w:szCs w:val="28"/>
        </w:rPr>
        <w:t>经查阅，目前暂无“新茶饮用茶  茉莉花绿茶”，与“新茶饮”“茉莉花绿茶”相关的标准有：《T/GZTPA 0021—2025  贵州新茶饮原料茶 精制绿茶》《T/GZTA 002—2025  贵州新茶饮原料基本要求》《T/GZTA 001—2025  贵州新茶饮技能大赛技术规程》《T/ZJSZJJ 0001—2025</w:t>
      </w:r>
      <w:r>
        <w:rPr>
          <w:rFonts w:hint="eastAsia" w:ascii="仿宋_GB2312" w:hAnsi="仿宋_GB2312" w:cs="仿宋_GB2312"/>
          <w:szCs w:val="28"/>
        </w:rPr>
        <w:tab/>
      </w:r>
      <w:r>
        <w:rPr>
          <w:rFonts w:hint="eastAsia" w:ascii="仿宋_GB2312" w:hAnsi="仿宋_GB2312" w:cs="仿宋_GB2312"/>
          <w:szCs w:val="28"/>
        </w:rPr>
        <w:t>新茶饮门店数字化运营规范》《T/ESSE 002—2022</w:t>
      </w:r>
      <w:r>
        <w:rPr>
          <w:rFonts w:hint="eastAsia" w:ascii="仿宋_GB2312" w:hAnsi="仿宋_GB2312" w:cs="仿宋_GB2312"/>
          <w:szCs w:val="28"/>
        </w:rPr>
        <w:tab/>
      </w:r>
      <w:r>
        <w:rPr>
          <w:rFonts w:hint="eastAsia" w:ascii="仿宋_GB2312" w:hAnsi="仿宋_GB2312" w:cs="仿宋_GB2312"/>
          <w:szCs w:val="28"/>
        </w:rPr>
        <w:t>恩施新茶饮制作规范》。</w:t>
      </w:r>
    </w:p>
    <w:p w14:paraId="0569EC5F">
      <w:pPr>
        <w:ind w:firstLine="640"/>
        <w:rPr>
          <w:rFonts w:ascii="仿宋_GB2312" w:hAnsi="仿宋_GB2312" w:cs="仿宋_GB2312"/>
          <w:szCs w:val="32"/>
        </w:rPr>
      </w:pPr>
      <w:r>
        <w:rPr>
          <w:rFonts w:hint="eastAsia" w:ascii="仿宋_GB2312" w:hAnsi="仿宋_GB2312" w:cs="仿宋_GB2312"/>
          <w:szCs w:val="28"/>
        </w:rPr>
        <w:t>分析如下：上述标准是针对贵州新茶饮原料茶精制绿茶、，新茶饮用茶  茉莉花绿茶以茉莉花为核心原料，其独特的花香物质、营养成分以及在加工过程中对香气保留、色泽控制等方面的要求，均有别于其他植物饮料。现有标准无法为新茶饮用茶  茉莉花绿茶在茉莉花品种选择、鲜花处理工艺、香气量化指标、特征风味物质界定等关键环节提供针对性指导，因此，制定团体标准《新茶饮用茶  茉莉花绿茶》具有紧迫性和创新性。</w:t>
      </w:r>
    </w:p>
    <w:p w14:paraId="1AF5CD4C">
      <w:pPr>
        <w:autoSpaceDE w:val="0"/>
        <w:autoSpaceDN w:val="0"/>
        <w:adjustRightInd w:val="0"/>
        <w:ind w:firstLine="640"/>
        <w:jc w:val="left"/>
        <w:rPr>
          <w:rFonts w:ascii="黑体" w:hAnsi="黑体" w:eastAsia="黑体" w:cs="仿宋_GB2312"/>
          <w:szCs w:val="32"/>
        </w:rPr>
      </w:pPr>
      <w:bookmarkStart w:id="5" w:name="_Toc526940084"/>
      <w:r>
        <w:rPr>
          <w:rFonts w:hint="eastAsia" w:ascii="黑体" w:hAnsi="黑体" w:eastAsia="黑体" w:cs="仿宋_GB2312"/>
          <w:szCs w:val="32"/>
        </w:rPr>
        <w:t>五、</w:t>
      </w:r>
      <w:bookmarkEnd w:id="5"/>
      <w:r>
        <w:rPr>
          <w:rFonts w:hint="eastAsia" w:ascii="黑体" w:hAnsi="黑体" w:eastAsia="黑体" w:cs="仿宋_GB2312"/>
          <w:szCs w:val="32"/>
        </w:rPr>
        <w:t>主要条款的说明</w:t>
      </w:r>
    </w:p>
    <w:p w14:paraId="5763B213">
      <w:pPr>
        <w:ind w:firstLine="640"/>
        <w:rPr>
          <w:rFonts w:ascii="仿宋_GB2312" w:hAnsi="仿宋_GB2312" w:cs="仿宋_GB2312"/>
          <w:szCs w:val="32"/>
          <w:lang w:val="zh-CN"/>
        </w:rPr>
      </w:pPr>
      <w:r>
        <w:rPr>
          <w:rFonts w:hint="eastAsia" w:ascii="仿宋_GB2312" w:hAnsi="仿宋_GB2312" w:cs="仿宋_GB2312"/>
          <w:szCs w:val="32"/>
          <w:lang w:val="zh-CN"/>
        </w:rPr>
        <w:t>团体标准《</w:t>
      </w:r>
      <w:r>
        <w:rPr>
          <w:rFonts w:hint="eastAsia" w:ascii="仿宋_GB2312" w:hAnsi="仿宋_GB2312" w:cs="仿宋_GB2312"/>
          <w:szCs w:val="28"/>
        </w:rPr>
        <w:t>新茶饮用茶  茉莉花绿茶</w:t>
      </w:r>
      <w:r>
        <w:rPr>
          <w:rFonts w:hint="eastAsia" w:ascii="仿宋_GB2312" w:hAnsi="仿宋_GB2312" w:cs="仿宋_GB2312"/>
          <w:szCs w:val="32"/>
          <w:lang w:val="zh-CN"/>
        </w:rPr>
        <w:t>》的主要内容包括：</w:t>
      </w:r>
      <w:r>
        <w:rPr>
          <w:rFonts w:hint="eastAsia" w:ascii="仿宋_GB2312" w:hAnsi="仿宋_GB2312" w:cs="仿宋_GB2312"/>
          <w:szCs w:val="28"/>
        </w:rPr>
        <w:t>术语和定义、质量要求、检验方法、检验规则、标志、标签、包装、运输、贮存</w:t>
      </w:r>
      <w:r>
        <w:rPr>
          <w:rFonts w:hint="eastAsia" w:ascii="仿宋_GB2312" w:hAnsi="仿宋_GB2312" w:cs="仿宋_GB2312"/>
          <w:szCs w:val="32"/>
          <w:lang w:val="zh-CN"/>
        </w:rPr>
        <w:t>。本文件主要内容及依据来源说明如下：</w:t>
      </w:r>
    </w:p>
    <w:p w14:paraId="170B3EE7">
      <w:pPr>
        <w:ind w:firstLine="640"/>
        <w:rPr>
          <w:rFonts w:ascii="仿宋_GB2312" w:hAnsi="仿宋_GB2312" w:cs="仿宋_GB2312"/>
          <w:szCs w:val="32"/>
          <w:lang w:val="zh-CN"/>
        </w:rPr>
      </w:pPr>
      <w:r>
        <w:rPr>
          <w:rFonts w:hint="eastAsia" w:ascii="仿宋_GB2312" w:hAnsi="仿宋_GB2312" w:cs="仿宋_GB2312"/>
          <w:szCs w:val="32"/>
          <w:lang w:val="zh-CN"/>
        </w:rPr>
        <w:t>在广西新茶饮产业的蓬勃发展中，广西南亚热带农业科学研究所、广西大学、广西绿异茶树良种研究院等科研机构提供了核心技术与标准支撑，其中南亚所组建了新茶饮研发中心、承建“广西新茶饮产品研究开发中心”，还选育出“桂热2号”等功能性新品种，其研发成果多次获《广西日报》报道。广西茶叶流通协会积极发挥桥梁作用，与南亚所等签订战略合作协议并推动上述团体标准出台，为产业规范化奠定基础。在产业实践层面，横县南方茶厂率先为新茶饮连锁品牌供应茉莉花原料，新茶饮产品营收占比已达32％，其跨界案例入选广西文旅创新典型；广西香茹怡茉茶业有限公司依托自产茉莉花茶研发出超200款新式饮品并开设自主品牌门店，获人民网等多家媒体报道；广西金花茶业有限公司则通过建设智慧制茶车间和人茶分离自动化生产线，实现标准化生产，其产品曾获东盟博览会国宾礼茶等荣誉。本标准主要基于</w:t>
      </w:r>
      <w:r>
        <w:rPr>
          <w:rFonts w:hint="eastAsia" w:ascii="仿宋_GB2312" w:hAnsi="仿宋_GB2312" w:cs="仿宋_GB2312"/>
          <w:szCs w:val="28"/>
        </w:rPr>
        <w:t>新茶饮用茶茉莉花绿茶当前现状及相关检测结果</w:t>
      </w:r>
      <w:r>
        <w:rPr>
          <w:rFonts w:hint="eastAsia" w:ascii="仿宋_GB2312" w:hAnsi="仿宋_GB2312" w:cs="仿宋_GB2312"/>
          <w:szCs w:val="32"/>
          <w:lang w:val="zh-CN"/>
        </w:rPr>
        <w:t>进行总结明确。</w:t>
      </w:r>
    </w:p>
    <w:p w14:paraId="7F65C763">
      <w:pPr>
        <w:ind w:firstLine="643"/>
        <w:rPr>
          <w:rFonts w:ascii="仿宋_GB2312" w:hAnsi="仿宋_GB2312" w:cs="仿宋_GB2312"/>
          <w:b/>
          <w:bCs/>
          <w:szCs w:val="32"/>
        </w:rPr>
      </w:pPr>
      <w:r>
        <w:rPr>
          <w:rFonts w:hint="eastAsia" w:ascii="仿宋_GB2312" w:hAnsi="仿宋_GB2312" w:cs="仿宋_GB2312"/>
          <w:b/>
          <w:bCs/>
          <w:szCs w:val="32"/>
        </w:rPr>
        <w:t>(一）术语和定义</w:t>
      </w:r>
    </w:p>
    <w:p w14:paraId="3D6D4AAB">
      <w:pPr>
        <w:autoSpaceDE w:val="0"/>
        <w:autoSpaceDN w:val="0"/>
        <w:adjustRightInd w:val="0"/>
        <w:ind w:firstLine="643"/>
        <w:rPr>
          <w:rFonts w:ascii="仿宋_GB2312" w:hAnsi="仿宋_GB2312" w:cs="仿宋_GB2312"/>
          <w:b/>
          <w:szCs w:val="32"/>
          <w:lang w:val="zh-CN"/>
        </w:rPr>
      </w:pPr>
      <w:bookmarkStart w:id="6" w:name="_Toc526940086"/>
      <w:r>
        <w:rPr>
          <w:rFonts w:hint="eastAsia" w:ascii="仿宋_GB2312" w:hAnsi="仿宋_GB2312" w:cs="仿宋_GB2312"/>
          <w:b/>
          <w:szCs w:val="32"/>
          <w:lang w:val="zh-CN"/>
        </w:rPr>
        <w:t>新茶饮用茶茉莉花绿茶：</w:t>
      </w:r>
      <w:r>
        <w:rPr>
          <w:rFonts w:hint="eastAsia" w:ascii="仿宋_GB2312" w:hAnsi="仿宋_GB2312" w:cs="仿宋_GB2312"/>
          <w:szCs w:val="32"/>
          <w:lang w:val="zh-CN"/>
        </w:rPr>
        <w:t>主要依据新茶饮的产业共识、茉莉花茶的传统工艺规范以及新茶饮行业对“茶基底”的专用属性要求三方面来源综合确定。在概念内核上，该定义承接了中国连锁经营协会《现制茶饮的术语和产品分类》将“新茶饮”定位为“以茶为核心产品”的现制饮品，以及中国茶叶学会《现制茶饮料术语分类基本要求》（T/CTSS 75—2023）对现制茶饮料“以茶叶等为原料、经现场加工调制”的界定，明确了其服务于新茶饮现制场景的专用属性；在茉莉花茶工艺表述上，该定义沿用了国家标准《茉莉花茶》（GB/T 22292-2017）中“以绿茶为原料，加工成级型坯后，经茉莉鲜花窨制（含白兰鲜花打底）而成的茉莉花茶”的核心表述，并参照了《茉莉花茶加工技术规范》（GB/T 34779-2017）对窨制工艺流程的规定；在产业实践层面，国内首个新茶饮原料茶产品团体标准《新式（现制）茶饮 茉莉花茶基底茶》（T/GXTC 0014-2024）已明确了“以绿茶为茶坯与茉莉鲜花窨制而成的茉莉花茶原料”的定位，横州市作为“世界茉莉花都”已发布13项团体标准推动传统花茶适配新茶饮，茉莉花已成为新茶饮第一大花茶基底，新茶饮原料茶的专用化、标准化已成为行业广泛共识。综上所述，该定义将“以绿茶为茶坯，经茉莉鲜花窨制而成”的传统茉莉花茶工艺与“用于新茶饮现制场景的茶基底”的用途限定有机结合，明确其定义为：以绿茶为茶坯，加工成级型坯后，经茉莉鲜花窨制（含白兰鲜花打底）而成，用于新茶饮现制场景的茶基底。</w:t>
      </w:r>
    </w:p>
    <w:p w14:paraId="62C5033D">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bCs/>
          <w:szCs w:val="32"/>
        </w:rPr>
        <w:t>(二）等级</w:t>
      </w:r>
    </w:p>
    <w:p w14:paraId="3C017647">
      <w:pPr>
        <w:autoSpaceDE w:val="0"/>
        <w:autoSpaceDN w:val="0"/>
        <w:adjustRightInd w:val="0"/>
        <w:ind w:firstLine="640"/>
        <w:rPr>
          <w:rFonts w:ascii="仿宋_GB2312" w:hAnsi="仿宋_GB2312" w:cs="仿宋_GB2312"/>
          <w:szCs w:val="32"/>
          <w:lang w:val="zh-CN"/>
        </w:rPr>
      </w:pPr>
      <w:r>
        <w:rPr>
          <w:rFonts w:hint="eastAsia" w:ascii="仿宋_GB2312" w:hAnsi="仿宋_GB2312" w:cs="仿宋_GB2312"/>
          <w:szCs w:val="32"/>
          <w:lang w:val="zh-CN"/>
        </w:rPr>
        <w:t>主要基于新茶饮行业的产业实际与标准编制组的反复研讨，综合以下两方面确定。一方面，本文件在等级划分上，国家标准《茉莉花茶》（GB/T 22292）按感官品质与理化指标将茉莉花茶分为特级至六级共7个等级；地方已有《广西优质茉莉花茶》（T/GXAS 117-2020）等标准；同时，编制组在起草过程中充分调研了横州市多家企事业单位的新茶饮原料茶加工工艺与质量等级现状，经多轮讨论后一致认为，按感官品质和理化指标划分为特种、特级、一级、二级、三级、四级、五级共七个等级，既能与GB/T 22292等上位标准保持协调衔接，又能精准覆盖新茶饮市场从高端到大众化不同层次的产品需求，具有较强的产业适配性和可操作性。</w:t>
      </w:r>
    </w:p>
    <w:p w14:paraId="0A1DAC50">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bCs/>
          <w:szCs w:val="32"/>
        </w:rPr>
        <w:t>(三）质量要求</w:t>
      </w:r>
    </w:p>
    <w:p w14:paraId="58EB43CA">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1、原料要求</w:t>
      </w:r>
    </w:p>
    <w:p w14:paraId="6D1160BA">
      <w:pPr>
        <w:autoSpaceDE w:val="0"/>
        <w:autoSpaceDN w:val="0"/>
        <w:adjustRightInd w:val="0"/>
        <w:ind w:firstLine="640"/>
        <w:rPr>
          <w:rFonts w:ascii="仿宋_GB2312" w:hAnsi="仿宋_GB2312" w:cs="仿宋_GB2312"/>
          <w:bCs/>
          <w:szCs w:val="32"/>
        </w:rPr>
      </w:pPr>
      <w:r>
        <w:rPr>
          <w:rFonts w:hint="eastAsia" w:ascii="仿宋_GB2312" w:hAnsi="仿宋_GB2312" w:cs="仿宋_GB2312"/>
          <w:bCs/>
          <w:szCs w:val="32"/>
        </w:rPr>
        <w:t>主要依据茉莉花茶传统工艺规范、绿茶茶坯的上位标准以及新茶饮行业的食品安全要求三方面综合确定。在绿茶茶坯方面，本文件要求“所用的绿茶茶坯应符合《T/GXAS XXXX 新茶饮用茶 绿茶》中对应等级的规定”，这既是对上游绿茶原料标准的衔接——国家标准《茉莉花茶》（GB/T 22292-2017）规定茉莉花茶“以绿茶为原料，加工成级型坯后，经茉莉鲜花窨制（含白兰鲜花打底）而成”，国家推荐性标准《茉莉花茶加工技术规范》（GB/T 34779-2017）进一步明确“茶坯应符合GB/T 14456.1的规定”，本文件在此基础上将茶坯要求升级为符合新茶饮专用绿茶标准，体现了从通用绿茶到新茶饮专用原料的产业升级需求；在窨制工艺方面，本文件要求“窨制工艺应符合GB/T 34779的规定”，该标准系统规定了茉莉花茶加工的原料要求、加工基本条件、加工工艺流程、加工技术要求等内容，确保茉莉花茶的传统窨制工艺规范得到遵循；在食品安全方面，本文件要求“品质正常，无异味、无异嗅、无劣变，不含非茶类夹杂物，不着色，不添加任何食品添加剂”，与国家茉莉花茶标准中“无劣变、无异味、无异嗅，不得含有任何添加剂”的要求保持一致。</w:t>
      </w:r>
    </w:p>
    <w:p w14:paraId="2D9E2C60">
      <w:pPr>
        <w:autoSpaceDE w:val="0"/>
        <w:autoSpaceDN w:val="0"/>
        <w:adjustRightInd w:val="0"/>
        <w:ind w:firstLine="643"/>
        <w:jc w:val="left"/>
        <w:rPr>
          <w:rFonts w:ascii="仿宋_GB2312" w:hAnsi="仿宋_GB2312" w:cs="仿宋_GB2312"/>
          <w:szCs w:val="32"/>
        </w:rPr>
      </w:pPr>
      <w:r>
        <w:rPr>
          <w:rFonts w:hint="eastAsia" w:ascii="仿宋_GB2312" w:hAnsi="仿宋_GB2312" w:cs="仿宋_GB2312"/>
          <w:b/>
          <w:szCs w:val="32"/>
        </w:rPr>
        <w:t>2、感官要求</w:t>
      </w:r>
    </w:p>
    <w:p w14:paraId="7B13EAE0">
      <w:pPr>
        <w:autoSpaceDE w:val="0"/>
        <w:autoSpaceDN w:val="0"/>
        <w:adjustRightInd w:val="0"/>
        <w:ind w:firstLine="640"/>
        <w:rPr>
          <w:rFonts w:ascii="仿宋_GB2312" w:hAnsi="仿宋_GB2312" w:cs="仿宋_GB2312"/>
          <w:szCs w:val="32"/>
        </w:rPr>
      </w:pPr>
      <w:r>
        <w:rPr>
          <w:rFonts w:hint="eastAsia" w:ascii="仿宋_GB2312" w:hAnsi="仿宋_GB2312" w:cs="仿宋_GB2312"/>
          <w:szCs w:val="32"/>
        </w:rPr>
        <w:t>主要由编制组企业基于大量市场实践、产品研发经验与反复的调饮测试共同讨论决定，并参照了国家标准《茉莉花茶》（GB/T 22292-2017）、团体标准《广西优质茉莉花茶》（T/GXAS 117-2020）以及国内首个新茶饮原料茶产品团体标准《新式（现制）茶饮 茉莉花茶基底茶》（T/GXTC 0014-2024）。长期以来，以GB/T 22292《茉莉花茶》和NY/T 456《茉莉花茶》为代表的传统标准，其感官评价体系主要聚焦于茶叶单独冲泡时的外形、香气、滋味、汤色、叶底等维度。然而，新茶饮场景下茉莉花绿茶需要与牛乳、糖浆等辅料深度融合，传统评价体系无法回答“茶叶加奶加糖后好不好喝”这一核心问题，导致上游茶企与下游品牌之间长期存在“好茶不一定好喝”的品质认知错位。本标准在这一环节实现了系统性创新：其一，首创三维香气评价，将传统单一的“香气”拆解为“底香”（评判茶叶原料本身的基础品质，延续了传统标准对干茶香的基本要求）和“水香”（首次评价茶汤与奶、糖混合后的香气表现），直接回应了新茶饮终端产品的香气体验；其二，在滋味维度上，除了延续传统“鲜爽醇厚”等浓度要求外，创造性设立了 “融合度”指标（评判茶味与牛乳、糖浆是否“融合、协调”以及“层次是否丰富”），从根本上解决了传统茶叶“单喝不错，加奶变味或变淡”的产业难题；其三，对 “苦涩度” 提出从“无苦涩”到“苦涩味重、化不开”的逐级量化要求，并对 “滋味持久性”创新性地以分钟为单位量化（如“3min仍有茶味”），确保产品从第一口到最后一口的品质一致性。这一系列指标的确立，标志着茉莉花茶标准化工作从“关注茶叶本身”向“关注终端应用”的范式转移，为下游茶饮品牌提供了一把真正用以衡量原料在实际产品中表现的“品质标尺”。</w:t>
      </w:r>
    </w:p>
    <w:p w14:paraId="2A821A0F">
      <w:pPr>
        <w:autoSpaceDE w:val="0"/>
        <w:autoSpaceDN w:val="0"/>
        <w:adjustRightInd w:val="0"/>
        <w:ind w:firstLine="643"/>
        <w:jc w:val="left"/>
        <w:rPr>
          <w:rFonts w:ascii="仿宋_GB2312" w:hAnsi="仿宋_GB2312" w:cs="仿宋_GB2312"/>
          <w:b/>
          <w:szCs w:val="32"/>
        </w:rPr>
      </w:pPr>
      <w:r>
        <w:rPr>
          <w:rFonts w:hint="eastAsia" w:ascii="仿宋_GB2312" w:hAnsi="仿宋_GB2312" w:cs="仿宋_GB2312"/>
          <w:b/>
          <w:szCs w:val="32"/>
        </w:rPr>
        <w:t>3、理化指标</w:t>
      </w:r>
    </w:p>
    <w:p w14:paraId="46F78168">
      <w:pPr>
        <w:autoSpaceDE w:val="0"/>
        <w:autoSpaceDN w:val="0"/>
        <w:adjustRightInd w:val="0"/>
        <w:ind w:firstLine="640"/>
        <w:jc w:val="left"/>
        <w:rPr>
          <w:rFonts w:ascii="仿宋_GB2312" w:hAnsi="仿宋_GB2312" w:cs="仿宋_GB2312"/>
          <w:b/>
          <w:szCs w:val="32"/>
        </w:rPr>
      </w:pPr>
      <w:r>
        <w:rPr>
          <w:rFonts w:hint="eastAsia" w:ascii="仿宋_GB2312" w:hAnsi="仿宋_GB2312" w:cs="仿宋_GB2312"/>
          <w:color w:val="0F1115"/>
          <w:shd w:val="clear" w:color="auto" w:fill="FFFFFF"/>
        </w:rPr>
        <w:t>主要基于编制组提供的内部检测的16批次新茶饮用茶茉莉花绿茶样品的实际检测数据（见表1），并与国家标准《茉莉花茶》（GB/T 22292-2017）、GB/T 14456系列绿茶标准及《新茶饮用茶 绿茶》（T/GXAS XXXX）等标准进行了系统对比分析（见表2）。</w:t>
      </w:r>
    </w:p>
    <w:p w14:paraId="3A024959">
      <w:pPr>
        <w:autoSpaceDE w:val="0"/>
        <w:autoSpaceDN w:val="0"/>
        <w:adjustRightInd w:val="0"/>
        <w:ind w:firstLine="640"/>
        <w:jc w:val="left"/>
        <w:rPr>
          <w:rFonts w:ascii="仿宋_GB2312" w:hAnsi="仿宋_GB2312" w:cs="仿宋_GB2312"/>
          <w:szCs w:val="32"/>
        </w:rPr>
      </w:pPr>
      <w:r>
        <w:rPr>
          <w:rFonts w:hint="eastAsia" w:ascii="仿宋_GB2312" w:hAnsi="仿宋_GB2312" w:cs="仿宋_GB2312"/>
          <w:szCs w:val="32"/>
        </w:rPr>
        <w:t>表1  新茶饮用茶茉莉花绿茶理化指标检测数据汇总</w:t>
      </w:r>
    </w:p>
    <w:tbl>
      <w:tblPr>
        <w:tblStyle w:val="6"/>
        <w:tblW w:w="9826" w:type="dxa"/>
        <w:tblInd w:w="93" w:type="dxa"/>
        <w:tblLayout w:type="autofit"/>
        <w:tblCellMar>
          <w:top w:w="0" w:type="dxa"/>
          <w:left w:w="108" w:type="dxa"/>
          <w:bottom w:w="0" w:type="dxa"/>
          <w:right w:w="108" w:type="dxa"/>
        </w:tblCellMar>
      </w:tblPr>
      <w:tblGrid>
        <w:gridCol w:w="1200"/>
        <w:gridCol w:w="2076"/>
        <w:gridCol w:w="2837"/>
        <w:gridCol w:w="3713"/>
      </w:tblGrid>
      <w:tr w14:paraId="42C48C6D">
        <w:tblPrEx>
          <w:tblCellMar>
            <w:top w:w="0" w:type="dxa"/>
            <w:left w:w="108" w:type="dxa"/>
            <w:bottom w:w="0" w:type="dxa"/>
            <w:right w:w="108" w:type="dxa"/>
          </w:tblCellMar>
        </w:tblPrEx>
        <w:trPr>
          <w:trHeight w:val="375" w:hRule="atLeast"/>
          <w:tblHeader/>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56CC">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序号</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14E67">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等级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195C5">
            <w:pPr>
              <w:widowControl/>
              <w:ind w:firstLine="0" w:firstLineChars="0"/>
              <w:jc w:val="center"/>
              <w:rPr>
                <w:rFonts w:ascii="仿宋_GB2312" w:hAnsi="宋体" w:cs="宋体"/>
                <w:b/>
                <w:bCs/>
                <w:color w:val="000000"/>
                <w:kern w:val="0"/>
                <w:sz w:val="21"/>
                <w:szCs w:val="21"/>
              </w:rPr>
            </w:pPr>
            <w:r>
              <w:rPr>
                <w:rFonts w:hint="eastAsia" w:ascii="仿宋_GB2312" w:hAnsi="宋体" w:cs="宋体"/>
                <w:b/>
                <w:bCs/>
                <w:color w:val="000000"/>
                <w:kern w:val="0"/>
                <w:sz w:val="21"/>
                <w:szCs w:val="21"/>
              </w:rPr>
              <w:t>水浸出物/％</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626B4">
            <w:pPr>
              <w:widowControl/>
              <w:ind w:firstLine="0" w:firstLineChars="0"/>
              <w:jc w:val="center"/>
              <w:rPr>
                <w:rFonts w:ascii="仿宋_GB2312" w:hAnsi="宋体" w:cs="宋体"/>
                <w:b/>
                <w:bCs/>
                <w:color w:val="000000"/>
                <w:kern w:val="0"/>
                <w:sz w:val="21"/>
                <w:szCs w:val="21"/>
              </w:rPr>
            </w:pPr>
            <w:r>
              <w:rPr>
                <w:rFonts w:hint="eastAsia" w:ascii="仿宋_GB2312" w:hAnsi="宋体" w:cs="宋体"/>
                <w:b/>
                <w:bCs/>
                <w:color w:val="000000"/>
                <w:kern w:val="0"/>
                <w:sz w:val="21"/>
                <w:szCs w:val="21"/>
              </w:rPr>
              <w:t>茶多酚/％</w:t>
            </w:r>
          </w:p>
        </w:tc>
      </w:tr>
      <w:tr w14:paraId="42CF95B7">
        <w:tblPrEx>
          <w:tblCellMar>
            <w:top w:w="0" w:type="dxa"/>
            <w:left w:w="108" w:type="dxa"/>
            <w:bottom w:w="0" w:type="dxa"/>
            <w:right w:w="108" w:type="dxa"/>
          </w:tblCellMar>
        </w:tblPrEx>
        <w:trPr>
          <w:trHeight w:val="375"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EC76F">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D689">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特种</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B62B4">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44.10</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C6FE">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27.6</w:t>
            </w:r>
          </w:p>
        </w:tc>
      </w:tr>
      <w:tr w14:paraId="1F984537">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DE683">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39F4E">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特种</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08FD">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42.34</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3D3D">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24.7</w:t>
            </w:r>
          </w:p>
        </w:tc>
      </w:tr>
      <w:tr w14:paraId="2B8A81F6">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A5AD">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3</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2A09">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特种</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ACC6">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39.73</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3B7F3">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26.7</w:t>
            </w:r>
          </w:p>
        </w:tc>
      </w:tr>
      <w:tr w14:paraId="6B7BD311">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69B87">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E2FAA">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特级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247EE">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47.99</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3E2DD">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21.2</w:t>
            </w:r>
          </w:p>
        </w:tc>
      </w:tr>
      <w:tr w14:paraId="5A557E9E">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6C139">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5</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E8742">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特级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748FA">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47.95</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0296E">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31.3</w:t>
            </w:r>
          </w:p>
        </w:tc>
      </w:tr>
      <w:tr w14:paraId="4C137160">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F03C3">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6</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6A806">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特级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CF8C">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42.47</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35AB4">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23.8</w:t>
            </w:r>
          </w:p>
        </w:tc>
      </w:tr>
      <w:tr w14:paraId="7B1A5A08">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B1E87">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7</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05EB">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一级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AF6A">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42.53</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EA479">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21.9</w:t>
            </w:r>
          </w:p>
        </w:tc>
      </w:tr>
      <w:tr w14:paraId="4E0961F2">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CC832">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8</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2F89A">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一级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EC14">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45.78</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E229D">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19.7</w:t>
            </w:r>
          </w:p>
        </w:tc>
      </w:tr>
      <w:tr w14:paraId="2642EBC6">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25485">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9</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DB51C">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二级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3EE8">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43.84</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A1619">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25.5</w:t>
            </w:r>
          </w:p>
        </w:tc>
      </w:tr>
      <w:tr w14:paraId="5E863AFC">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28121">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10</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1E716">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二级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E6F3">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49.32</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2A480">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18.3</w:t>
            </w:r>
          </w:p>
        </w:tc>
      </w:tr>
      <w:tr w14:paraId="4A307891">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3E582">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11</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9BAA">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三级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B7F0">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51.04</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D3D8E">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16.2</w:t>
            </w:r>
          </w:p>
        </w:tc>
      </w:tr>
      <w:tr w14:paraId="632B008A">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6482E">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12</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25CA">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三级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8234E">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48.67</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1B2EB">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20.6</w:t>
            </w:r>
          </w:p>
        </w:tc>
      </w:tr>
      <w:tr w14:paraId="78BBFD17">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DD531">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13</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12684">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四级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C2D6">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54.49</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5F011">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15</w:t>
            </w:r>
          </w:p>
        </w:tc>
      </w:tr>
      <w:tr w14:paraId="61A16D43">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090BC">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14</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398A8">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四级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1E436">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45.15</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DAEFB">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19.1</w:t>
            </w:r>
          </w:p>
        </w:tc>
      </w:tr>
      <w:tr w14:paraId="7250DA74">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36C10">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15</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CF663">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五级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49ED6">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50.75</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B52DB">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16.2</w:t>
            </w:r>
          </w:p>
        </w:tc>
      </w:tr>
      <w:tr w14:paraId="528919EF">
        <w:tblPrEx>
          <w:tblCellMar>
            <w:top w:w="0" w:type="dxa"/>
            <w:left w:w="108" w:type="dxa"/>
            <w:bottom w:w="0" w:type="dxa"/>
            <w:right w:w="108" w:type="dxa"/>
          </w:tblCellMar>
        </w:tblPrEx>
        <w:trPr>
          <w:trHeight w:val="51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1245">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16</w:t>
            </w:r>
          </w:p>
        </w:tc>
        <w:tc>
          <w:tcPr>
            <w:tcW w:w="2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27EB2">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五级</w:t>
            </w:r>
          </w:p>
        </w:tc>
        <w:tc>
          <w:tcPr>
            <w:tcW w:w="2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9C005">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51.57</w:t>
            </w:r>
          </w:p>
        </w:tc>
        <w:tc>
          <w:tcPr>
            <w:tcW w:w="3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8D939">
            <w:pPr>
              <w:widowControl/>
              <w:ind w:firstLine="0" w:firstLineChars="0"/>
              <w:jc w:val="center"/>
              <w:rPr>
                <w:rFonts w:ascii="仿宋_GB2312" w:hAnsi="宋体" w:cs="宋体"/>
                <w:color w:val="000000"/>
                <w:kern w:val="0"/>
                <w:sz w:val="21"/>
                <w:szCs w:val="21"/>
              </w:rPr>
            </w:pPr>
            <w:r>
              <w:rPr>
                <w:rFonts w:hint="eastAsia" w:ascii="仿宋_GB2312" w:hAnsi="宋体" w:cs="宋体"/>
                <w:color w:val="000000"/>
                <w:kern w:val="0"/>
                <w:sz w:val="21"/>
                <w:szCs w:val="21"/>
              </w:rPr>
              <w:t>15.3</w:t>
            </w:r>
          </w:p>
        </w:tc>
      </w:tr>
    </w:tbl>
    <w:p w14:paraId="0218D38F">
      <w:pPr>
        <w:autoSpaceDE w:val="0"/>
        <w:autoSpaceDN w:val="0"/>
        <w:adjustRightInd w:val="0"/>
        <w:ind w:firstLine="0" w:firstLineChars="0"/>
        <w:jc w:val="left"/>
        <w:rPr>
          <w:rFonts w:ascii="仿宋_GB2312" w:hAnsi="仿宋_GB2312" w:cs="仿宋_GB2312"/>
          <w:szCs w:val="32"/>
        </w:rPr>
      </w:pPr>
    </w:p>
    <w:p w14:paraId="38EFACCE">
      <w:pPr>
        <w:autoSpaceDE w:val="0"/>
        <w:autoSpaceDN w:val="0"/>
        <w:adjustRightInd w:val="0"/>
        <w:ind w:firstLine="640"/>
        <w:jc w:val="left"/>
        <w:rPr>
          <w:rFonts w:ascii="仿宋_GB2312" w:hAnsi="仿宋_GB2312" w:cs="仿宋_GB231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pPr>
    </w:p>
    <w:p w14:paraId="29B30848">
      <w:pPr>
        <w:autoSpaceDE w:val="0"/>
        <w:autoSpaceDN w:val="0"/>
        <w:adjustRightInd w:val="0"/>
        <w:ind w:firstLine="640"/>
        <w:jc w:val="center"/>
        <w:rPr>
          <w:rFonts w:ascii="仿宋_GB2312" w:hAnsi="仿宋_GB2312" w:cs="仿宋_GB2312"/>
          <w:szCs w:val="32"/>
        </w:rPr>
      </w:pPr>
      <w:r>
        <w:rPr>
          <w:rFonts w:hint="eastAsia" w:ascii="仿宋_GB2312" w:hAnsi="仿宋_GB2312" w:cs="仿宋_GB2312"/>
          <w:szCs w:val="32"/>
        </w:rPr>
        <w:t>表2 其他茉莉花茶、绿茶相关标准理化指标情况</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6"/>
        <w:gridCol w:w="1560"/>
        <w:gridCol w:w="1986"/>
        <w:gridCol w:w="1560"/>
        <w:gridCol w:w="2071"/>
        <w:gridCol w:w="1738"/>
        <w:gridCol w:w="1862"/>
        <w:gridCol w:w="1803"/>
      </w:tblGrid>
      <w:tr w14:paraId="1C51B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7" w:hRule="atLeast"/>
          <w:tblHeader/>
        </w:trPr>
        <w:tc>
          <w:tcPr>
            <w:tcW w:w="541" w:type="pct"/>
            <w:tcBorders>
              <w:top w:val="single" w:color="auto" w:sz="4" w:space="0"/>
              <w:left w:val="single" w:color="auto" w:sz="4" w:space="0"/>
              <w:bottom w:val="single" w:color="auto" w:sz="4" w:space="0"/>
              <w:right w:val="single" w:color="auto" w:sz="4" w:space="0"/>
            </w:tcBorders>
            <w:vAlign w:val="center"/>
          </w:tcPr>
          <w:p w14:paraId="0C57F0B4">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标准编号与名称</w:t>
            </w:r>
          </w:p>
        </w:tc>
        <w:tc>
          <w:tcPr>
            <w:tcW w:w="553" w:type="pct"/>
            <w:tcBorders>
              <w:top w:val="single" w:color="auto" w:sz="4" w:space="0"/>
              <w:left w:val="single" w:color="auto" w:sz="4" w:space="0"/>
              <w:bottom w:val="single" w:color="auto" w:sz="4" w:space="0"/>
              <w:right w:val="single" w:color="auto" w:sz="4" w:space="0"/>
            </w:tcBorders>
            <w:vAlign w:val="center"/>
          </w:tcPr>
          <w:p w14:paraId="20C10526">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适用产品</w:t>
            </w:r>
          </w:p>
        </w:tc>
        <w:tc>
          <w:tcPr>
            <w:tcW w:w="704" w:type="pct"/>
            <w:tcBorders>
              <w:top w:val="single" w:color="auto" w:sz="4" w:space="0"/>
              <w:left w:val="single" w:color="auto" w:sz="4" w:space="0"/>
              <w:bottom w:val="single" w:color="auto" w:sz="4" w:space="0"/>
              <w:right w:val="single" w:color="auto" w:sz="4" w:space="0"/>
            </w:tcBorders>
            <w:vAlign w:val="center"/>
          </w:tcPr>
          <w:p w14:paraId="01ECB12E">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水分</w:t>
            </w:r>
            <w:r>
              <w:rPr>
                <w:rFonts w:hint="eastAsia" w:ascii="仿宋_GB2312"/>
                <w:b/>
                <w:bCs/>
                <w:color w:val="0F1115"/>
                <w:kern w:val="0"/>
                <w:sz w:val="18"/>
                <w:szCs w:val="18"/>
              </w:rPr>
              <w:t>(％)≤</w:t>
            </w:r>
          </w:p>
        </w:tc>
        <w:tc>
          <w:tcPr>
            <w:tcW w:w="553" w:type="pct"/>
            <w:tcBorders>
              <w:top w:val="single" w:color="auto" w:sz="4" w:space="0"/>
              <w:left w:val="single" w:color="auto" w:sz="4" w:space="0"/>
              <w:bottom w:val="single" w:color="auto" w:sz="4" w:space="0"/>
              <w:right w:val="single" w:color="auto" w:sz="4" w:space="0"/>
            </w:tcBorders>
            <w:vAlign w:val="center"/>
          </w:tcPr>
          <w:p w14:paraId="77A93509">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总灰分</w:t>
            </w:r>
            <w:r>
              <w:rPr>
                <w:rFonts w:hint="eastAsia" w:ascii="仿宋_GB2312"/>
                <w:b/>
                <w:bCs/>
                <w:color w:val="0F1115"/>
                <w:kern w:val="0"/>
                <w:sz w:val="18"/>
                <w:szCs w:val="18"/>
              </w:rPr>
              <w:t>(％)≤</w:t>
            </w:r>
          </w:p>
        </w:tc>
        <w:tc>
          <w:tcPr>
            <w:tcW w:w="734" w:type="pct"/>
            <w:tcBorders>
              <w:top w:val="single" w:color="auto" w:sz="4" w:space="0"/>
              <w:left w:val="single" w:color="auto" w:sz="4" w:space="0"/>
              <w:bottom w:val="single" w:color="auto" w:sz="4" w:space="0"/>
              <w:right w:val="single" w:color="auto" w:sz="4" w:space="0"/>
            </w:tcBorders>
            <w:vAlign w:val="center"/>
          </w:tcPr>
          <w:p w14:paraId="4E3A3D9A">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粉末</w:t>
            </w:r>
            <w:r>
              <w:rPr>
                <w:rFonts w:hint="eastAsia" w:ascii="仿宋_GB2312"/>
                <w:b/>
                <w:bCs/>
                <w:color w:val="0F1115"/>
                <w:kern w:val="0"/>
                <w:sz w:val="18"/>
                <w:szCs w:val="18"/>
              </w:rPr>
              <w:t>/</w:t>
            </w:r>
            <w:r>
              <w:rPr>
                <w:rFonts w:hint="eastAsia" w:ascii="仿宋_GB2312" w:hAnsi="宋体"/>
                <w:b/>
                <w:bCs/>
                <w:color w:val="0F1115"/>
                <w:kern w:val="0"/>
                <w:sz w:val="18"/>
                <w:szCs w:val="18"/>
              </w:rPr>
              <w:t>碎末茶</w:t>
            </w:r>
            <w:r>
              <w:rPr>
                <w:rFonts w:hint="eastAsia" w:ascii="仿宋_GB2312"/>
                <w:b/>
                <w:bCs/>
                <w:color w:val="0F1115"/>
                <w:kern w:val="0"/>
                <w:sz w:val="18"/>
                <w:szCs w:val="18"/>
              </w:rPr>
              <w:t>(％)≤</w:t>
            </w:r>
          </w:p>
        </w:tc>
        <w:tc>
          <w:tcPr>
            <w:tcW w:w="616" w:type="pct"/>
            <w:tcBorders>
              <w:top w:val="single" w:color="auto" w:sz="4" w:space="0"/>
              <w:left w:val="single" w:color="auto" w:sz="4" w:space="0"/>
              <w:bottom w:val="single" w:color="auto" w:sz="4" w:space="0"/>
              <w:right w:val="single" w:color="auto" w:sz="4" w:space="0"/>
            </w:tcBorders>
            <w:vAlign w:val="center"/>
          </w:tcPr>
          <w:p w14:paraId="20124416">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水浸出物</w:t>
            </w:r>
            <w:r>
              <w:rPr>
                <w:rFonts w:hint="eastAsia" w:ascii="仿宋_GB2312"/>
                <w:b/>
                <w:bCs/>
                <w:color w:val="0F1115"/>
                <w:kern w:val="0"/>
                <w:sz w:val="18"/>
                <w:szCs w:val="18"/>
              </w:rPr>
              <w:t>(％)≥</w:t>
            </w:r>
          </w:p>
        </w:tc>
        <w:tc>
          <w:tcPr>
            <w:tcW w:w="660" w:type="pct"/>
            <w:tcBorders>
              <w:top w:val="single" w:color="auto" w:sz="4" w:space="0"/>
              <w:left w:val="single" w:color="auto" w:sz="4" w:space="0"/>
              <w:bottom w:val="single" w:color="auto" w:sz="4" w:space="0"/>
              <w:right w:val="single" w:color="auto" w:sz="4" w:space="0"/>
            </w:tcBorders>
            <w:vAlign w:val="center"/>
          </w:tcPr>
          <w:p w14:paraId="04B61C83">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茶多酚</w:t>
            </w:r>
            <w:r>
              <w:rPr>
                <w:rFonts w:hint="eastAsia" w:ascii="仿宋_GB2312"/>
                <w:b/>
                <w:bCs/>
                <w:color w:val="0F1115"/>
                <w:kern w:val="0"/>
                <w:sz w:val="18"/>
                <w:szCs w:val="18"/>
              </w:rPr>
              <w:t>(％)≥</w:t>
            </w:r>
          </w:p>
        </w:tc>
        <w:tc>
          <w:tcPr>
            <w:tcW w:w="639" w:type="pct"/>
            <w:tcBorders>
              <w:top w:val="single" w:color="auto" w:sz="4" w:space="0"/>
              <w:left w:val="single" w:color="auto" w:sz="4" w:space="0"/>
              <w:bottom w:val="single" w:color="auto" w:sz="4" w:space="0"/>
              <w:right w:val="single" w:color="auto" w:sz="4" w:space="0"/>
            </w:tcBorders>
            <w:vAlign w:val="center"/>
          </w:tcPr>
          <w:p w14:paraId="25D100F3">
            <w:pPr>
              <w:widowControl/>
              <w:kinsoku w:val="0"/>
              <w:overflowPunct w:val="0"/>
              <w:autoSpaceDE w:val="0"/>
              <w:autoSpaceDN w:val="0"/>
              <w:ind w:firstLine="0" w:firstLineChars="0"/>
              <w:jc w:val="center"/>
              <w:textAlignment w:val="center"/>
              <w:rPr>
                <w:rFonts w:ascii="仿宋_GB2312"/>
                <w:sz w:val="18"/>
                <w:szCs w:val="18"/>
              </w:rPr>
            </w:pPr>
            <w:r>
              <w:rPr>
                <w:rFonts w:hint="eastAsia" w:ascii="仿宋_GB2312" w:hAnsi="宋体"/>
                <w:b/>
                <w:bCs/>
                <w:color w:val="0F1115"/>
                <w:kern w:val="0"/>
                <w:sz w:val="18"/>
                <w:szCs w:val="18"/>
              </w:rPr>
              <w:t>其他特色指标</w:t>
            </w:r>
          </w:p>
        </w:tc>
      </w:tr>
      <w:tr w14:paraId="4CDC8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547391FE">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GB/T 14456.1-2017 </w:t>
            </w:r>
            <w:r>
              <w:rPr>
                <w:rStyle w:val="46"/>
                <w:rFonts w:hint="eastAsia" w:ascii="仿宋_GB2312" w:hAnsi="宋体"/>
                <w:b w:val="0"/>
                <w:bCs/>
                <w:color w:val="0F1115"/>
                <w:kern w:val="0"/>
                <w:sz w:val="18"/>
                <w:szCs w:val="18"/>
              </w:rPr>
              <w:t>绿茶 基本要求</w:t>
            </w:r>
          </w:p>
        </w:tc>
        <w:tc>
          <w:tcPr>
            <w:tcW w:w="553" w:type="pct"/>
            <w:tcBorders>
              <w:top w:val="single" w:color="auto" w:sz="4" w:space="0"/>
              <w:left w:val="single" w:color="auto" w:sz="4" w:space="0"/>
              <w:bottom w:val="single" w:color="auto" w:sz="4" w:space="0"/>
              <w:right w:val="single" w:color="auto" w:sz="4" w:space="0"/>
            </w:tcBorders>
            <w:vAlign w:val="center"/>
          </w:tcPr>
          <w:p w14:paraId="494DAE56">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各类绿茶</w:t>
            </w:r>
          </w:p>
        </w:tc>
        <w:tc>
          <w:tcPr>
            <w:tcW w:w="704" w:type="pct"/>
            <w:tcBorders>
              <w:top w:val="single" w:color="auto" w:sz="4" w:space="0"/>
              <w:left w:val="single" w:color="auto" w:sz="4" w:space="0"/>
              <w:bottom w:val="single" w:color="auto" w:sz="4" w:space="0"/>
              <w:right w:val="single" w:color="auto" w:sz="4" w:space="0"/>
            </w:tcBorders>
            <w:vAlign w:val="center"/>
          </w:tcPr>
          <w:p w14:paraId="6611ACD3">
            <w:pPr>
              <w:widowControl/>
              <w:kinsoku w:val="0"/>
              <w:overflowPunct w:val="0"/>
              <w:autoSpaceDE w:val="0"/>
              <w:autoSpaceDN w:val="0"/>
              <w:ind w:firstLine="0" w:firstLineChars="0"/>
              <w:jc w:val="left"/>
              <w:textAlignment w:val="center"/>
              <w:rPr>
                <w:rFonts w:ascii="仿宋_GB2312"/>
                <w:color w:val="0F1115"/>
                <w:kern w:val="0"/>
                <w:sz w:val="18"/>
                <w:szCs w:val="18"/>
              </w:rPr>
            </w:pPr>
            <w:r>
              <w:rPr>
                <w:rFonts w:hint="eastAsia" w:ascii="仿宋_GB2312"/>
                <w:color w:val="0F1115"/>
                <w:kern w:val="0"/>
                <w:sz w:val="18"/>
                <w:szCs w:val="18"/>
              </w:rPr>
              <w:t>7.0 (</w:t>
            </w:r>
            <w:r>
              <w:rPr>
                <w:rFonts w:hint="eastAsia" w:ascii="仿宋_GB2312" w:hAnsi="宋体"/>
                <w:color w:val="0F1115"/>
                <w:kern w:val="0"/>
                <w:sz w:val="18"/>
                <w:szCs w:val="18"/>
              </w:rPr>
              <w:t>炒青</w:t>
            </w:r>
            <w:r>
              <w:rPr>
                <w:rFonts w:hint="eastAsia" w:ascii="仿宋_GB2312"/>
                <w:color w:val="0F1115"/>
                <w:kern w:val="0"/>
                <w:sz w:val="18"/>
                <w:szCs w:val="18"/>
              </w:rPr>
              <w:t>/</w:t>
            </w:r>
            <w:r>
              <w:rPr>
                <w:rFonts w:hint="eastAsia" w:ascii="仿宋_GB2312" w:hAnsi="宋体"/>
                <w:color w:val="0F1115"/>
                <w:kern w:val="0"/>
                <w:sz w:val="18"/>
                <w:szCs w:val="18"/>
              </w:rPr>
              <w:t>烘青</w:t>
            </w:r>
            <w:r>
              <w:rPr>
                <w:rFonts w:hint="eastAsia" w:ascii="仿宋_GB2312"/>
                <w:color w:val="0F1115"/>
                <w:kern w:val="0"/>
                <w:sz w:val="18"/>
                <w:szCs w:val="18"/>
              </w:rPr>
              <w:t>/</w:t>
            </w:r>
            <w:r>
              <w:rPr>
                <w:rFonts w:hint="eastAsia" w:ascii="仿宋_GB2312" w:hAnsi="宋体"/>
                <w:color w:val="0F1115"/>
                <w:kern w:val="0"/>
                <w:sz w:val="18"/>
                <w:szCs w:val="18"/>
              </w:rPr>
              <w:t>蒸青</w:t>
            </w:r>
            <w:r>
              <w:rPr>
                <w:rFonts w:hint="eastAsia" w:ascii="仿宋_GB2312"/>
                <w:color w:val="0F1115"/>
                <w:kern w:val="0"/>
                <w:sz w:val="18"/>
                <w:szCs w:val="18"/>
              </w:rPr>
              <w:t>)</w:t>
            </w:r>
          </w:p>
          <w:p w14:paraId="2D2B9A5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9.0 (</w:t>
            </w:r>
            <w:r>
              <w:rPr>
                <w:rFonts w:hint="eastAsia" w:ascii="仿宋_GB2312" w:hAnsi="宋体"/>
                <w:color w:val="0F1115"/>
                <w:kern w:val="0"/>
                <w:sz w:val="18"/>
                <w:szCs w:val="18"/>
              </w:rPr>
              <w:t>晒青</w:t>
            </w:r>
            <w:r>
              <w:rPr>
                <w:rFonts w:hint="eastAsia" w:ascii="仿宋_GB2312"/>
                <w:color w:val="0F1115"/>
                <w:kern w:val="0"/>
                <w:sz w:val="18"/>
                <w:szCs w:val="18"/>
              </w:rPr>
              <w:t>)</w:t>
            </w:r>
          </w:p>
        </w:tc>
        <w:tc>
          <w:tcPr>
            <w:tcW w:w="553" w:type="pct"/>
            <w:tcBorders>
              <w:top w:val="single" w:color="auto" w:sz="4" w:space="0"/>
              <w:left w:val="single" w:color="auto" w:sz="4" w:space="0"/>
              <w:bottom w:val="single" w:color="auto" w:sz="4" w:space="0"/>
              <w:right w:val="single" w:color="auto" w:sz="4" w:space="0"/>
            </w:tcBorders>
            <w:vAlign w:val="center"/>
          </w:tcPr>
          <w:p w14:paraId="446AF5DE">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37C0E57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1.0</w:t>
            </w:r>
          </w:p>
        </w:tc>
        <w:tc>
          <w:tcPr>
            <w:tcW w:w="616" w:type="pct"/>
            <w:tcBorders>
              <w:top w:val="single" w:color="auto" w:sz="4" w:space="0"/>
              <w:left w:val="single" w:color="auto" w:sz="4" w:space="0"/>
              <w:bottom w:val="single" w:color="auto" w:sz="4" w:space="0"/>
              <w:right w:val="single" w:color="auto" w:sz="4" w:space="0"/>
            </w:tcBorders>
            <w:vAlign w:val="center"/>
          </w:tcPr>
          <w:p w14:paraId="3C02E1E0">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34.0</w:t>
            </w:r>
          </w:p>
        </w:tc>
        <w:tc>
          <w:tcPr>
            <w:tcW w:w="660" w:type="pct"/>
            <w:tcBorders>
              <w:top w:val="single" w:color="auto" w:sz="4" w:space="0"/>
              <w:left w:val="single" w:color="auto" w:sz="4" w:space="0"/>
              <w:bottom w:val="single" w:color="auto" w:sz="4" w:space="0"/>
              <w:right w:val="single" w:color="auto" w:sz="4" w:space="0"/>
            </w:tcBorders>
            <w:vAlign w:val="center"/>
          </w:tcPr>
          <w:p w14:paraId="70FE3AC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 xml:space="preserve">11.0 </w:t>
            </w:r>
          </w:p>
        </w:tc>
        <w:tc>
          <w:tcPr>
            <w:tcW w:w="639" w:type="pct"/>
            <w:tcBorders>
              <w:top w:val="single" w:color="auto" w:sz="4" w:space="0"/>
              <w:left w:val="single" w:color="auto" w:sz="4" w:space="0"/>
              <w:bottom w:val="single" w:color="auto" w:sz="4" w:space="0"/>
              <w:right w:val="single" w:color="auto" w:sz="4" w:space="0"/>
            </w:tcBorders>
            <w:vAlign w:val="center"/>
          </w:tcPr>
          <w:p w14:paraId="79EC0CB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粗纤维</w:t>
            </w:r>
            <w:r>
              <w:rPr>
                <w:rFonts w:hint="eastAsia" w:ascii="仿宋_GB2312"/>
                <w:color w:val="0F1115"/>
                <w:kern w:val="0"/>
                <w:sz w:val="18"/>
                <w:szCs w:val="18"/>
              </w:rPr>
              <w:t>≤16.0％</w:t>
            </w:r>
            <w:r>
              <w:rPr>
                <w:rFonts w:hint="eastAsia" w:ascii="仿宋_GB2312" w:hAnsi="宋体"/>
                <w:color w:val="0F1115"/>
                <w:kern w:val="0"/>
                <w:sz w:val="18"/>
                <w:szCs w:val="18"/>
              </w:rPr>
              <w:t>；儿茶素</w:t>
            </w:r>
            <w:r>
              <w:rPr>
                <w:rFonts w:hint="eastAsia" w:ascii="仿宋_GB2312"/>
                <w:color w:val="0F1115"/>
                <w:kern w:val="0"/>
                <w:sz w:val="18"/>
                <w:szCs w:val="18"/>
              </w:rPr>
              <w:t>≥7.0％</w:t>
            </w:r>
          </w:p>
        </w:tc>
      </w:tr>
      <w:tr w14:paraId="105AE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6E524528">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GB/T 14456.2-2018 </w:t>
            </w:r>
            <w:r>
              <w:rPr>
                <w:rStyle w:val="46"/>
                <w:rFonts w:hint="eastAsia" w:ascii="仿宋_GB2312" w:hAnsi="宋体"/>
                <w:b w:val="0"/>
                <w:bCs/>
                <w:color w:val="0F1115"/>
                <w:kern w:val="0"/>
                <w:sz w:val="18"/>
                <w:szCs w:val="18"/>
              </w:rPr>
              <w:t>大叶种绿茶</w:t>
            </w:r>
          </w:p>
        </w:tc>
        <w:tc>
          <w:tcPr>
            <w:tcW w:w="553" w:type="pct"/>
            <w:tcBorders>
              <w:top w:val="single" w:color="auto" w:sz="4" w:space="0"/>
              <w:left w:val="single" w:color="auto" w:sz="4" w:space="0"/>
              <w:bottom w:val="single" w:color="auto" w:sz="4" w:space="0"/>
              <w:right w:val="single" w:color="auto" w:sz="4" w:space="0"/>
            </w:tcBorders>
            <w:vAlign w:val="center"/>
          </w:tcPr>
          <w:p w14:paraId="22C6F049">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大叶种绿茶</w:t>
            </w:r>
          </w:p>
        </w:tc>
        <w:tc>
          <w:tcPr>
            <w:tcW w:w="704" w:type="pct"/>
            <w:tcBorders>
              <w:top w:val="single" w:color="auto" w:sz="4" w:space="0"/>
              <w:left w:val="single" w:color="auto" w:sz="4" w:space="0"/>
              <w:bottom w:val="single" w:color="auto" w:sz="4" w:space="0"/>
              <w:right w:val="single" w:color="auto" w:sz="4" w:space="0"/>
            </w:tcBorders>
            <w:vAlign w:val="center"/>
          </w:tcPr>
          <w:p w14:paraId="66E9EDB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 (</w:t>
            </w:r>
            <w:r>
              <w:rPr>
                <w:rFonts w:hint="eastAsia" w:ascii="仿宋_GB2312" w:hAnsi="宋体"/>
                <w:color w:val="0F1115"/>
                <w:kern w:val="0"/>
                <w:sz w:val="18"/>
                <w:szCs w:val="18"/>
              </w:rPr>
              <w:t>蒸</w:t>
            </w:r>
            <w:r>
              <w:rPr>
                <w:rFonts w:hint="eastAsia" w:ascii="仿宋_GB2312"/>
                <w:color w:val="0F1115"/>
                <w:kern w:val="0"/>
                <w:sz w:val="18"/>
                <w:szCs w:val="18"/>
              </w:rPr>
              <w:t>/</w:t>
            </w:r>
            <w:r>
              <w:rPr>
                <w:rFonts w:hint="eastAsia" w:ascii="仿宋_GB2312" w:hAnsi="宋体"/>
                <w:color w:val="0F1115"/>
                <w:kern w:val="0"/>
                <w:sz w:val="18"/>
                <w:szCs w:val="18"/>
              </w:rPr>
              <w:t>炒</w:t>
            </w:r>
            <w:r>
              <w:rPr>
                <w:rFonts w:hint="eastAsia" w:ascii="仿宋_GB2312"/>
                <w:color w:val="0F1115"/>
                <w:kern w:val="0"/>
                <w:sz w:val="18"/>
                <w:szCs w:val="18"/>
              </w:rPr>
              <w:t>/</w:t>
            </w:r>
            <w:r>
              <w:rPr>
                <w:rFonts w:hint="eastAsia" w:ascii="仿宋_GB2312" w:hAnsi="宋体"/>
                <w:color w:val="0F1115"/>
                <w:kern w:val="0"/>
                <w:sz w:val="18"/>
                <w:szCs w:val="18"/>
              </w:rPr>
              <w:t>烘</w:t>
            </w:r>
            <w:r>
              <w:rPr>
                <w:rFonts w:hint="eastAsia" w:ascii="仿宋_GB2312"/>
                <w:color w:val="0F1115"/>
                <w:kern w:val="0"/>
                <w:sz w:val="18"/>
                <w:szCs w:val="18"/>
              </w:rPr>
              <w:t>/</w:t>
            </w:r>
            <w:r>
              <w:rPr>
                <w:rFonts w:hint="eastAsia" w:ascii="仿宋_GB2312" w:hAnsi="宋体"/>
                <w:color w:val="0F1115"/>
                <w:kern w:val="0"/>
                <w:sz w:val="18"/>
                <w:szCs w:val="18"/>
              </w:rPr>
              <w:t>晒</w:t>
            </w:r>
            <w:r>
              <w:rPr>
                <w:rFonts w:hint="eastAsia" w:ascii="仿宋_GB2312"/>
                <w:color w:val="0F1115"/>
                <w:kern w:val="0"/>
                <w:sz w:val="18"/>
                <w:szCs w:val="18"/>
              </w:rPr>
              <w:t>)</w:t>
            </w:r>
          </w:p>
        </w:tc>
        <w:tc>
          <w:tcPr>
            <w:tcW w:w="553" w:type="pct"/>
            <w:tcBorders>
              <w:top w:val="single" w:color="auto" w:sz="4" w:space="0"/>
              <w:left w:val="single" w:color="auto" w:sz="4" w:space="0"/>
              <w:bottom w:val="single" w:color="auto" w:sz="4" w:space="0"/>
              <w:right w:val="single" w:color="auto" w:sz="4" w:space="0"/>
            </w:tcBorders>
            <w:vAlign w:val="center"/>
          </w:tcPr>
          <w:p w14:paraId="2CC7E9B0">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2ED13957">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0.8</w:t>
            </w:r>
          </w:p>
        </w:tc>
        <w:tc>
          <w:tcPr>
            <w:tcW w:w="616" w:type="pct"/>
            <w:tcBorders>
              <w:top w:val="single" w:color="auto" w:sz="4" w:space="0"/>
              <w:left w:val="single" w:color="auto" w:sz="4" w:space="0"/>
              <w:bottom w:val="single" w:color="auto" w:sz="4" w:space="0"/>
              <w:right w:val="single" w:color="auto" w:sz="4" w:space="0"/>
            </w:tcBorders>
            <w:vAlign w:val="center"/>
          </w:tcPr>
          <w:p w14:paraId="22902634">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36.0</w:t>
            </w:r>
          </w:p>
        </w:tc>
        <w:tc>
          <w:tcPr>
            <w:tcW w:w="660" w:type="pct"/>
            <w:tcBorders>
              <w:top w:val="single" w:color="auto" w:sz="4" w:space="0"/>
              <w:left w:val="single" w:color="auto" w:sz="4" w:space="0"/>
              <w:bottom w:val="single" w:color="auto" w:sz="4" w:space="0"/>
              <w:right w:val="single" w:color="auto" w:sz="4" w:space="0"/>
            </w:tcBorders>
            <w:vAlign w:val="center"/>
          </w:tcPr>
          <w:p w14:paraId="25C33155">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16.0</w:t>
            </w:r>
          </w:p>
        </w:tc>
        <w:tc>
          <w:tcPr>
            <w:tcW w:w="639" w:type="pct"/>
            <w:tcBorders>
              <w:top w:val="single" w:color="auto" w:sz="4" w:space="0"/>
              <w:left w:val="single" w:color="auto" w:sz="4" w:space="0"/>
              <w:bottom w:val="single" w:color="auto" w:sz="4" w:space="0"/>
              <w:right w:val="single" w:color="auto" w:sz="4" w:space="0"/>
            </w:tcBorders>
            <w:vAlign w:val="center"/>
          </w:tcPr>
          <w:p w14:paraId="246F2C46">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粗纤维</w:t>
            </w:r>
            <w:r>
              <w:rPr>
                <w:rFonts w:hint="eastAsia" w:ascii="仿宋_GB2312"/>
                <w:color w:val="0F1115"/>
                <w:kern w:val="0"/>
                <w:sz w:val="18"/>
                <w:szCs w:val="18"/>
              </w:rPr>
              <w:t>≤16.0％</w:t>
            </w:r>
            <w:r>
              <w:rPr>
                <w:rFonts w:hint="eastAsia" w:ascii="仿宋_GB2312" w:hAnsi="宋体"/>
                <w:color w:val="0F1115"/>
                <w:kern w:val="0"/>
                <w:sz w:val="18"/>
                <w:szCs w:val="18"/>
              </w:rPr>
              <w:t>；儿茶素</w:t>
            </w:r>
            <w:r>
              <w:rPr>
                <w:rFonts w:hint="eastAsia" w:ascii="仿宋_GB2312"/>
                <w:color w:val="0F1115"/>
                <w:kern w:val="0"/>
                <w:sz w:val="18"/>
                <w:szCs w:val="18"/>
              </w:rPr>
              <w:t xml:space="preserve">≥11.0％ </w:t>
            </w:r>
          </w:p>
        </w:tc>
      </w:tr>
      <w:tr w14:paraId="5007F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1977BA46">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GB/T 14456.3-2016 </w:t>
            </w:r>
            <w:r>
              <w:rPr>
                <w:rStyle w:val="46"/>
                <w:rFonts w:hint="eastAsia" w:ascii="仿宋_GB2312" w:hAnsi="宋体"/>
                <w:b w:val="0"/>
                <w:bCs/>
                <w:color w:val="0F1115"/>
                <w:kern w:val="0"/>
                <w:sz w:val="18"/>
                <w:szCs w:val="18"/>
              </w:rPr>
              <w:t>中小叶种绿茶</w:t>
            </w:r>
          </w:p>
        </w:tc>
        <w:tc>
          <w:tcPr>
            <w:tcW w:w="553" w:type="pct"/>
            <w:tcBorders>
              <w:top w:val="single" w:color="auto" w:sz="4" w:space="0"/>
              <w:left w:val="single" w:color="auto" w:sz="4" w:space="0"/>
              <w:bottom w:val="single" w:color="auto" w:sz="4" w:space="0"/>
              <w:right w:val="single" w:color="auto" w:sz="4" w:space="0"/>
            </w:tcBorders>
            <w:vAlign w:val="center"/>
          </w:tcPr>
          <w:p w14:paraId="6D0C79E3">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中小叶种绿茶</w:t>
            </w:r>
          </w:p>
        </w:tc>
        <w:tc>
          <w:tcPr>
            <w:tcW w:w="704" w:type="pct"/>
            <w:tcBorders>
              <w:top w:val="single" w:color="auto" w:sz="4" w:space="0"/>
              <w:left w:val="single" w:color="auto" w:sz="4" w:space="0"/>
              <w:bottom w:val="single" w:color="auto" w:sz="4" w:space="0"/>
              <w:right w:val="single" w:color="auto" w:sz="4" w:space="0"/>
            </w:tcBorders>
            <w:vAlign w:val="center"/>
          </w:tcPr>
          <w:p w14:paraId="51BEFAE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28ED79C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048F256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1.0</w:t>
            </w:r>
          </w:p>
        </w:tc>
        <w:tc>
          <w:tcPr>
            <w:tcW w:w="616" w:type="pct"/>
            <w:tcBorders>
              <w:top w:val="single" w:color="auto" w:sz="4" w:space="0"/>
              <w:left w:val="single" w:color="auto" w:sz="4" w:space="0"/>
              <w:bottom w:val="single" w:color="auto" w:sz="4" w:space="0"/>
              <w:right w:val="single" w:color="auto" w:sz="4" w:space="0"/>
            </w:tcBorders>
            <w:vAlign w:val="center"/>
          </w:tcPr>
          <w:p w14:paraId="64FD0A8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特级～二级</w:t>
            </w:r>
            <w:r>
              <w:rPr>
                <w:rFonts w:hint="eastAsia" w:ascii="仿宋_GB2312"/>
                <w:color w:val="0F1115"/>
                <w:kern w:val="0"/>
                <w:sz w:val="18"/>
                <w:szCs w:val="18"/>
              </w:rPr>
              <w:t xml:space="preserve"> ≥36.0</w:t>
            </w:r>
            <w:r>
              <w:rPr>
                <w:rFonts w:hint="eastAsia" w:ascii="仿宋_GB2312"/>
                <w:color w:val="0F1115"/>
                <w:kern w:val="0"/>
                <w:sz w:val="18"/>
                <w:szCs w:val="18"/>
              </w:rPr>
              <w:br w:type="textWrapping"/>
            </w:r>
            <w:r>
              <w:rPr>
                <w:rFonts w:hint="eastAsia" w:ascii="仿宋_GB2312" w:hAnsi="宋体"/>
                <w:color w:val="0F1115"/>
                <w:kern w:val="0"/>
                <w:sz w:val="18"/>
                <w:szCs w:val="18"/>
              </w:rPr>
              <w:t>三级～五级</w:t>
            </w:r>
            <w:r>
              <w:rPr>
                <w:rFonts w:hint="eastAsia" w:ascii="仿宋_GB2312"/>
                <w:color w:val="0F1115"/>
                <w:kern w:val="0"/>
                <w:sz w:val="18"/>
                <w:szCs w:val="18"/>
              </w:rPr>
              <w:t xml:space="preserve"> ≥34.0</w:t>
            </w:r>
          </w:p>
        </w:tc>
        <w:tc>
          <w:tcPr>
            <w:tcW w:w="660" w:type="pct"/>
            <w:tcBorders>
              <w:top w:val="single" w:color="auto" w:sz="4" w:space="0"/>
              <w:left w:val="single" w:color="auto" w:sz="4" w:space="0"/>
              <w:bottom w:val="single" w:color="auto" w:sz="4" w:space="0"/>
              <w:right w:val="single" w:color="auto" w:sz="4" w:space="0"/>
            </w:tcBorders>
            <w:vAlign w:val="center"/>
          </w:tcPr>
          <w:p w14:paraId="43262E7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 xml:space="preserve">13.0 </w:t>
            </w:r>
          </w:p>
        </w:tc>
        <w:tc>
          <w:tcPr>
            <w:tcW w:w="639" w:type="pct"/>
            <w:tcBorders>
              <w:top w:val="single" w:color="auto" w:sz="4" w:space="0"/>
              <w:left w:val="single" w:color="auto" w:sz="4" w:space="0"/>
              <w:bottom w:val="single" w:color="auto" w:sz="4" w:space="0"/>
              <w:right w:val="single" w:color="auto" w:sz="4" w:space="0"/>
            </w:tcBorders>
            <w:vAlign w:val="center"/>
          </w:tcPr>
          <w:p w14:paraId="7C7D0165">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粗纤维</w:t>
            </w:r>
            <w:r>
              <w:rPr>
                <w:rFonts w:hint="eastAsia" w:ascii="仿宋_GB2312"/>
                <w:color w:val="0F1115"/>
                <w:kern w:val="0"/>
                <w:sz w:val="18"/>
                <w:szCs w:val="18"/>
              </w:rPr>
              <w:t>≤16.5％</w:t>
            </w:r>
            <w:r>
              <w:rPr>
                <w:rFonts w:hint="eastAsia" w:ascii="仿宋_GB2312" w:hAnsi="宋体"/>
                <w:color w:val="0F1115"/>
                <w:kern w:val="0"/>
                <w:sz w:val="18"/>
                <w:szCs w:val="18"/>
              </w:rPr>
              <w:t>；儿茶素</w:t>
            </w:r>
            <w:r>
              <w:rPr>
                <w:rFonts w:hint="eastAsia" w:ascii="仿宋_GB2312"/>
                <w:color w:val="0F1115"/>
                <w:kern w:val="0"/>
                <w:sz w:val="18"/>
                <w:szCs w:val="18"/>
              </w:rPr>
              <w:t xml:space="preserve">≥8.0％ </w:t>
            </w:r>
          </w:p>
        </w:tc>
      </w:tr>
      <w:tr w14:paraId="39112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4AF1CA7B">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GB/T 14456.4-2016 </w:t>
            </w:r>
            <w:r>
              <w:rPr>
                <w:rStyle w:val="46"/>
                <w:rFonts w:hint="eastAsia" w:ascii="仿宋_GB2312" w:hAnsi="宋体"/>
                <w:b w:val="0"/>
                <w:bCs/>
                <w:color w:val="0F1115"/>
                <w:kern w:val="0"/>
                <w:sz w:val="18"/>
                <w:szCs w:val="18"/>
              </w:rPr>
              <w:t>珠茶</w:t>
            </w:r>
          </w:p>
        </w:tc>
        <w:tc>
          <w:tcPr>
            <w:tcW w:w="553" w:type="pct"/>
            <w:tcBorders>
              <w:top w:val="single" w:color="auto" w:sz="4" w:space="0"/>
              <w:left w:val="single" w:color="auto" w:sz="4" w:space="0"/>
              <w:bottom w:val="single" w:color="auto" w:sz="4" w:space="0"/>
              <w:right w:val="single" w:color="auto" w:sz="4" w:space="0"/>
            </w:tcBorders>
            <w:vAlign w:val="center"/>
          </w:tcPr>
          <w:p w14:paraId="4FD34154">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珠茶</w:t>
            </w:r>
          </w:p>
        </w:tc>
        <w:tc>
          <w:tcPr>
            <w:tcW w:w="704" w:type="pct"/>
            <w:tcBorders>
              <w:top w:val="single" w:color="auto" w:sz="4" w:space="0"/>
              <w:left w:val="single" w:color="auto" w:sz="4" w:space="0"/>
              <w:bottom w:val="single" w:color="auto" w:sz="4" w:space="0"/>
              <w:right w:val="single" w:color="auto" w:sz="4" w:space="0"/>
            </w:tcBorders>
            <w:vAlign w:val="center"/>
          </w:tcPr>
          <w:p w14:paraId="648EEEC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3737439D">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4DD64B94">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1.0</w:t>
            </w:r>
          </w:p>
        </w:tc>
        <w:tc>
          <w:tcPr>
            <w:tcW w:w="616" w:type="pct"/>
            <w:tcBorders>
              <w:top w:val="single" w:color="auto" w:sz="4" w:space="0"/>
              <w:left w:val="single" w:color="auto" w:sz="4" w:space="0"/>
              <w:bottom w:val="single" w:color="auto" w:sz="4" w:space="0"/>
              <w:right w:val="single" w:color="auto" w:sz="4" w:space="0"/>
            </w:tcBorders>
            <w:vAlign w:val="center"/>
          </w:tcPr>
          <w:p w14:paraId="73AB1804">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35.0</w:t>
            </w:r>
          </w:p>
        </w:tc>
        <w:tc>
          <w:tcPr>
            <w:tcW w:w="660" w:type="pct"/>
            <w:tcBorders>
              <w:top w:val="single" w:color="auto" w:sz="4" w:space="0"/>
              <w:left w:val="single" w:color="auto" w:sz="4" w:space="0"/>
              <w:bottom w:val="single" w:color="auto" w:sz="4" w:space="0"/>
              <w:right w:val="single" w:color="auto" w:sz="4" w:space="0"/>
            </w:tcBorders>
            <w:vAlign w:val="center"/>
          </w:tcPr>
          <w:p w14:paraId="4106C07D">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 xml:space="preserve">14.0 </w:t>
            </w:r>
          </w:p>
        </w:tc>
        <w:tc>
          <w:tcPr>
            <w:tcW w:w="639" w:type="pct"/>
            <w:tcBorders>
              <w:top w:val="single" w:color="auto" w:sz="4" w:space="0"/>
              <w:left w:val="single" w:color="auto" w:sz="4" w:space="0"/>
              <w:bottom w:val="single" w:color="auto" w:sz="4" w:space="0"/>
              <w:right w:val="single" w:color="auto" w:sz="4" w:space="0"/>
            </w:tcBorders>
            <w:vAlign w:val="center"/>
          </w:tcPr>
          <w:p w14:paraId="68DC4ED1">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r>
      <w:tr w14:paraId="34AC6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00B2D186">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GB/T 14456.5-2016 </w:t>
            </w:r>
            <w:r>
              <w:rPr>
                <w:rStyle w:val="46"/>
                <w:rFonts w:hint="eastAsia" w:ascii="仿宋_GB2312" w:hAnsi="宋体"/>
                <w:b w:val="0"/>
                <w:bCs/>
                <w:color w:val="0F1115"/>
                <w:kern w:val="0"/>
                <w:sz w:val="18"/>
                <w:szCs w:val="18"/>
              </w:rPr>
              <w:t>眉茶</w:t>
            </w:r>
          </w:p>
        </w:tc>
        <w:tc>
          <w:tcPr>
            <w:tcW w:w="553" w:type="pct"/>
            <w:tcBorders>
              <w:top w:val="single" w:color="auto" w:sz="4" w:space="0"/>
              <w:left w:val="single" w:color="auto" w:sz="4" w:space="0"/>
              <w:bottom w:val="single" w:color="auto" w:sz="4" w:space="0"/>
              <w:right w:val="single" w:color="auto" w:sz="4" w:space="0"/>
            </w:tcBorders>
            <w:vAlign w:val="center"/>
          </w:tcPr>
          <w:p w14:paraId="14B496D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眉茶（珍眉</w:t>
            </w:r>
            <w:r>
              <w:rPr>
                <w:rFonts w:hint="eastAsia" w:ascii="仿宋_GB2312"/>
                <w:color w:val="0F1115"/>
                <w:kern w:val="0"/>
                <w:sz w:val="18"/>
                <w:szCs w:val="18"/>
              </w:rPr>
              <w:t>/</w:t>
            </w:r>
            <w:r>
              <w:rPr>
                <w:rFonts w:hint="eastAsia" w:ascii="仿宋_GB2312" w:hAnsi="宋体"/>
                <w:color w:val="0F1115"/>
                <w:kern w:val="0"/>
                <w:sz w:val="18"/>
                <w:szCs w:val="18"/>
              </w:rPr>
              <w:t>雨茶</w:t>
            </w:r>
            <w:r>
              <w:rPr>
                <w:rFonts w:hint="eastAsia" w:ascii="仿宋_GB2312"/>
                <w:color w:val="0F1115"/>
                <w:kern w:val="0"/>
                <w:sz w:val="18"/>
                <w:szCs w:val="18"/>
              </w:rPr>
              <w:t>/</w:t>
            </w:r>
            <w:r>
              <w:rPr>
                <w:rFonts w:hint="eastAsia" w:ascii="仿宋_GB2312" w:hAnsi="宋体"/>
                <w:color w:val="0F1115"/>
                <w:kern w:val="0"/>
                <w:sz w:val="18"/>
                <w:szCs w:val="18"/>
              </w:rPr>
              <w:t>贡熙</w:t>
            </w:r>
            <w:r>
              <w:rPr>
                <w:rFonts w:hint="eastAsia" w:ascii="仿宋_GB2312"/>
                <w:color w:val="0F1115"/>
                <w:kern w:val="0"/>
                <w:sz w:val="18"/>
                <w:szCs w:val="18"/>
              </w:rPr>
              <w:t>/</w:t>
            </w:r>
            <w:r>
              <w:rPr>
                <w:rFonts w:hint="eastAsia" w:ascii="仿宋_GB2312" w:hAnsi="宋体"/>
                <w:color w:val="0F1115"/>
                <w:kern w:val="0"/>
                <w:sz w:val="18"/>
                <w:szCs w:val="18"/>
              </w:rPr>
              <w:t>秀眉）</w:t>
            </w:r>
          </w:p>
        </w:tc>
        <w:tc>
          <w:tcPr>
            <w:tcW w:w="704" w:type="pct"/>
            <w:tcBorders>
              <w:top w:val="single" w:color="auto" w:sz="4" w:space="0"/>
              <w:left w:val="single" w:color="auto" w:sz="4" w:space="0"/>
              <w:bottom w:val="single" w:color="auto" w:sz="4" w:space="0"/>
              <w:right w:val="single" w:color="auto" w:sz="4" w:space="0"/>
            </w:tcBorders>
            <w:vAlign w:val="center"/>
          </w:tcPr>
          <w:p w14:paraId="6C86B05E">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1F921153">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16EDDB0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1.0 (</w:t>
            </w:r>
            <w:r>
              <w:rPr>
                <w:rFonts w:hint="eastAsia" w:ascii="仿宋_GB2312" w:hAnsi="宋体"/>
                <w:color w:val="0F1115"/>
                <w:kern w:val="0"/>
                <w:sz w:val="18"/>
                <w:szCs w:val="18"/>
              </w:rPr>
              <w:t>珍眉</w:t>
            </w:r>
            <w:r>
              <w:rPr>
                <w:rFonts w:hint="eastAsia" w:ascii="仿宋_GB2312"/>
                <w:color w:val="0F1115"/>
                <w:kern w:val="0"/>
                <w:sz w:val="18"/>
                <w:szCs w:val="18"/>
              </w:rPr>
              <w:t>/</w:t>
            </w:r>
            <w:r>
              <w:rPr>
                <w:rFonts w:hint="eastAsia" w:ascii="仿宋_GB2312" w:hAnsi="宋体"/>
                <w:color w:val="0F1115"/>
                <w:kern w:val="0"/>
                <w:sz w:val="18"/>
                <w:szCs w:val="18"/>
              </w:rPr>
              <w:t>雨茶</w:t>
            </w:r>
            <w:r>
              <w:rPr>
                <w:rFonts w:hint="eastAsia" w:ascii="仿宋_GB2312"/>
                <w:color w:val="0F1115"/>
                <w:kern w:val="0"/>
                <w:sz w:val="18"/>
                <w:szCs w:val="18"/>
              </w:rPr>
              <w:t>/</w:t>
            </w:r>
            <w:r>
              <w:rPr>
                <w:rFonts w:hint="eastAsia" w:ascii="仿宋_GB2312" w:hAnsi="宋体"/>
                <w:color w:val="0F1115"/>
                <w:kern w:val="0"/>
                <w:sz w:val="18"/>
                <w:szCs w:val="18"/>
              </w:rPr>
              <w:t>贡熙</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1.5 (</w:t>
            </w:r>
            <w:r>
              <w:rPr>
                <w:rFonts w:hint="eastAsia" w:ascii="仿宋_GB2312" w:hAnsi="宋体"/>
                <w:color w:val="0F1115"/>
                <w:kern w:val="0"/>
                <w:sz w:val="18"/>
                <w:szCs w:val="18"/>
              </w:rPr>
              <w:t>秀眉</w:t>
            </w:r>
            <w:r>
              <w:rPr>
                <w:rFonts w:hint="eastAsia" w:ascii="仿宋_GB2312"/>
                <w:color w:val="0F1115"/>
                <w:kern w:val="0"/>
                <w:sz w:val="18"/>
                <w:szCs w:val="18"/>
              </w:rPr>
              <w:t>)</w:t>
            </w:r>
          </w:p>
        </w:tc>
        <w:tc>
          <w:tcPr>
            <w:tcW w:w="616" w:type="pct"/>
            <w:tcBorders>
              <w:top w:val="single" w:color="auto" w:sz="4" w:space="0"/>
              <w:left w:val="single" w:color="auto" w:sz="4" w:space="0"/>
              <w:bottom w:val="single" w:color="auto" w:sz="4" w:space="0"/>
              <w:right w:val="single" w:color="auto" w:sz="4" w:space="0"/>
            </w:tcBorders>
            <w:vAlign w:val="center"/>
          </w:tcPr>
          <w:p w14:paraId="61826B09">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36.0 (</w:t>
            </w:r>
            <w:r>
              <w:rPr>
                <w:rFonts w:hint="eastAsia" w:ascii="仿宋_GB2312" w:hAnsi="宋体"/>
                <w:color w:val="0F1115"/>
                <w:kern w:val="0"/>
                <w:sz w:val="18"/>
                <w:szCs w:val="18"/>
              </w:rPr>
              <w:t>珍眉</w:t>
            </w:r>
            <w:r>
              <w:rPr>
                <w:rFonts w:hint="eastAsia" w:ascii="仿宋_GB2312"/>
                <w:color w:val="0F1115"/>
                <w:kern w:val="0"/>
                <w:sz w:val="18"/>
                <w:szCs w:val="18"/>
              </w:rPr>
              <w:t>/</w:t>
            </w:r>
            <w:r>
              <w:rPr>
                <w:rFonts w:hint="eastAsia" w:ascii="仿宋_GB2312" w:hAnsi="宋体"/>
                <w:color w:val="0F1115"/>
                <w:kern w:val="0"/>
                <w:sz w:val="18"/>
                <w:szCs w:val="18"/>
              </w:rPr>
              <w:t>贡熙</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34.0 (</w:t>
            </w:r>
            <w:r>
              <w:rPr>
                <w:rFonts w:hint="eastAsia" w:ascii="仿宋_GB2312" w:hAnsi="宋体"/>
                <w:color w:val="0F1115"/>
                <w:kern w:val="0"/>
                <w:sz w:val="18"/>
                <w:szCs w:val="18"/>
              </w:rPr>
              <w:t>雨茶</w:t>
            </w:r>
            <w:r>
              <w:rPr>
                <w:rFonts w:hint="eastAsia" w:ascii="仿宋_GB2312"/>
                <w:color w:val="0F1115"/>
                <w:kern w:val="0"/>
                <w:sz w:val="18"/>
                <w:szCs w:val="18"/>
              </w:rPr>
              <w:t>/</w:t>
            </w:r>
            <w:r>
              <w:rPr>
                <w:rFonts w:hint="eastAsia" w:ascii="仿宋_GB2312" w:hAnsi="宋体"/>
                <w:color w:val="0F1115"/>
                <w:kern w:val="0"/>
                <w:sz w:val="18"/>
                <w:szCs w:val="18"/>
              </w:rPr>
              <w:t>秀眉</w:t>
            </w:r>
            <w:r>
              <w:rPr>
                <w:rFonts w:hint="eastAsia" w:ascii="仿宋_GB2312"/>
                <w:color w:val="0F1115"/>
                <w:kern w:val="0"/>
                <w:sz w:val="18"/>
                <w:szCs w:val="18"/>
              </w:rPr>
              <w:t>)</w:t>
            </w:r>
          </w:p>
        </w:tc>
        <w:tc>
          <w:tcPr>
            <w:tcW w:w="660" w:type="pct"/>
            <w:tcBorders>
              <w:top w:val="single" w:color="auto" w:sz="4" w:space="0"/>
              <w:left w:val="single" w:color="auto" w:sz="4" w:space="0"/>
              <w:bottom w:val="single" w:color="auto" w:sz="4" w:space="0"/>
              <w:right w:val="single" w:color="auto" w:sz="4" w:space="0"/>
            </w:tcBorders>
            <w:vAlign w:val="center"/>
          </w:tcPr>
          <w:p w14:paraId="4A71FC99">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14/13/12 (</w:t>
            </w:r>
            <w:r>
              <w:rPr>
                <w:rFonts w:hint="eastAsia" w:ascii="仿宋_GB2312" w:hAnsi="宋体"/>
                <w:color w:val="0F1115"/>
                <w:kern w:val="0"/>
                <w:sz w:val="18"/>
                <w:szCs w:val="18"/>
              </w:rPr>
              <w:t>分品种</w:t>
            </w:r>
            <w:r>
              <w:rPr>
                <w:rFonts w:hint="eastAsia" w:ascii="仿宋_GB2312"/>
                <w:color w:val="0F1115"/>
                <w:kern w:val="0"/>
                <w:sz w:val="18"/>
                <w:szCs w:val="18"/>
              </w:rPr>
              <w:t>)</w:t>
            </w:r>
          </w:p>
        </w:tc>
        <w:tc>
          <w:tcPr>
            <w:tcW w:w="639" w:type="pct"/>
            <w:tcBorders>
              <w:top w:val="single" w:color="auto" w:sz="4" w:space="0"/>
              <w:left w:val="single" w:color="auto" w:sz="4" w:space="0"/>
              <w:bottom w:val="single" w:color="auto" w:sz="4" w:space="0"/>
              <w:right w:val="single" w:color="auto" w:sz="4" w:space="0"/>
            </w:tcBorders>
            <w:vAlign w:val="center"/>
          </w:tcPr>
          <w:p w14:paraId="79050101">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r>
      <w:tr w14:paraId="2DACD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3E0A7A22">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GB/T 14456.6-2016 </w:t>
            </w:r>
            <w:r>
              <w:rPr>
                <w:rStyle w:val="46"/>
                <w:rFonts w:hint="eastAsia" w:ascii="仿宋_GB2312" w:hAnsi="宋体"/>
                <w:b w:val="0"/>
                <w:bCs/>
                <w:color w:val="0F1115"/>
                <w:kern w:val="0"/>
                <w:sz w:val="18"/>
                <w:szCs w:val="18"/>
              </w:rPr>
              <w:t>蒸青茶</w:t>
            </w:r>
          </w:p>
        </w:tc>
        <w:tc>
          <w:tcPr>
            <w:tcW w:w="553" w:type="pct"/>
            <w:tcBorders>
              <w:top w:val="single" w:color="auto" w:sz="4" w:space="0"/>
              <w:left w:val="single" w:color="auto" w:sz="4" w:space="0"/>
              <w:bottom w:val="single" w:color="auto" w:sz="4" w:space="0"/>
              <w:right w:val="single" w:color="auto" w:sz="4" w:space="0"/>
            </w:tcBorders>
            <w:vAlign w:val="center"/>
          </w:tcPr>
          <w:p w14:paraId="1AD7B1C0">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蒸青茶</w:t>
            </w:r>
          </w:p>
        </w:tc>
        <w:tc>
          <w:tcPr>
            <w:tcW w:w="704" w:type="pct"/>
            <w:tcBorders>
              <w:top w:val="single" w:color="auto" w:sz="4" w:space="0"/>
              <w:left w:val="single" w:color="auto" w:sz="4" w:space="0"/>
              <w:bottom w:val="single" w:color="auto" w:sz="4" w:space="0"/>
              <w:right w:val="single" w:color="auto" w:sz="4" w:space="0"/>
            </w:tcBorders>
            <w:vAlign w:val="center"/>
          </w:tcPr>
          <w:p w14:paraId="3CDB658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42463C42">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0F009EA6">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3.0 (</w:t>
            </w:r>
            <w:r>
              <w:rPr>
                <w:rFonts w:hint="eastAsia" w:ascii="仿宋_GB2312" w:hAnsi="宋体"/>
                <w:color w:val="0F1115"/>
                <w:kern w:val="0"/>
                <w:sz w:val="18"/>
                <w:szCs w:val="18"/>
              </w:rPr>
              <w:t>特级～二级</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6.0 (</w:t>
            </w:r>
            <w:r>
              <w:rPr>
                <w:rFonts w:hint="eastAsia" w:ascii="仿宋_GB2312" w:hAnsi="宋体"/>
                <w:color w:val="0F1115"/>
                <w:kern w:val="0"/>
                <w:sz w:val="18"/>
                <w:szCs w:val="18"/>
              </w:rPr>
              <w:t>三级～五级</w:t>
            </w:r>
            <w:r>
              <w:rPr>
                <w:rFonts w:hint="eastAsia" w:ascii="仿宋_GB2312"/>
                <w:color w:val="0F1115"/>
                <w:kern w:val="0"/>
                <w:sz w:val="18"/>
                <w:szCs w:val="18"/>
              </w:rPr>
              <w:t>/</w:t>
            </w:r>
            <w:r>
              <w:rPr>
                <w:rFonts w:hint="eastAsia" w:ascii="仿宋_GB2312" w:hAnsi="宋体"/>
                <w:color w:val="0F1115"/>
                <w:kern w:val="0"/>
                <w:sz w:val="18"/>
                <w:szCs w:val="18"/>
              </w:rPr>
              <w:t>片茶</w:t>
            </w:r>
            <w:r>
              <w:rPr>
                <w:rFonts w:hint="eastAsia" w:ascii="仿宋_GB2312"/>
                <w:color w:val="0F1115"/>
                <w:kern w:val="0"/>
                <w:sz w:val="18"/>
                <w:szCs w:val="18"/>
              </w:rPr>
              <w:t>)</w:t>
            </w:r>
          </w:p>
        </w:tc>
        <w:tc>
          <w:tcPr>
            <w:tcW w:w="616" w:type="pct"/>
            <w:tcBorders>
              <w:top w:val="single" w:color="auto" w:sz="4" w:space="0"/>
              <w:left w:val="single" w:color="auto" w:sz="4" w:space="0"/>
              <w:bottom w:val="single" w:color="auto" w:sz="4" w:space="0"/>
              <w:right w:val="single" w:color="auto" w:sz="4" w:space="0"/>
            </w:tcBorders>
            <w:vAlign w:val="center"/>
          </w:tcPr>
          <w:p w14:paraId="1EDD924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36.0 (</w:t>
            </w:r>
            <w:r>
              <w:rPr>
                <w:rFonts w:hint="eastAsia" w:ascii="仿宋_GB2312" w:hAnsi="宋体"/>
                <w:color w:val="0F1115"/>
                <w:kern w:val="0"/>
                <w:sz w:val="18"/>
                <w:szCs w:val="18"/>
              </w:rPr>
              <w:t>特级～二级</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34.0 (</w:t>
            </w:r>
            <w:r>
              <w:rPr>
                <w:rFonts w:hint="eastAsia" w:ascii="仿宋_GB2312" w:hAnsi="宋体"/>
                <w:color w:val="0F1115"/>
                <w:kern w:val="0"/>
                <w:sz w:val="18"/>
                <w:szCs w:val="18"/>
              </w:rPr>
              <w:t>三级～五级</w:t>
            </w:r>
            <w:r>
              <w:rPr>
                <w:rFonts w:hint="eastAsia" w:ascii="仿宋_GB2312"/>
                <w:color w:val="0F1115"/>
                <w:kern w:val="0"/>
                <w:sz w:val="18"/>
                <w:szCs w:val="18"/>
              </w:rPr>
              <w:t>)</w:t>
            </w:r>
          </w:p>
        </w:tc>
        <w:tc>
          <w:tcPr>
            <w:tcW w:w="660" w:type="pct"/>
            <w:tcBorders>
              <w:top w:val="single" w:color="auto" w:sz="4" w:space="0"/>
              <w:left w:val="single" w:color="auto" w:sz="4" w:space="0"/>
              <w:bottom w:val="single" w:color="auto" w:sz="4" w:space="0"/>
              <w:right w:val="single" w:color="auto" w:sz="4" w:space="0"/>
            </w:tcBorders>
            <w:vAlign w:val="center"/>
          </w:tcPr>
          <w:p w14:paraId="3C60C6AD">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 xml:space="preserve">14/12 </w:t>
            </w:r>
          </w:p>
        </w:tc>
        <w:tc>
          <w:tcPr>
            <w:tcW w:w="639" w:type="pct"/>
            <w:tcBorders>
              <w:top w:val="single" w:color="auto" w:sz="4" w:space="0"/>
              <w:left w:val="single" w:color="auto" w:sz="4" w:space="0"/>
              <w:bottom w:val="single" w:color="auto" w:sz="4" w:space="0"/>
              <w:right w:val="single" w:color="auto" w:sz="4" w:space="0"/>
            </w:tcBorders>
            <w:vAlign w:val="center"/>
          </w:tcPr>
          <w:p w14:paraId="66B91AE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r>
      <w:tr w14:paraId="5A215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508B9D78">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T/GZTPA 0021-2025 </w:t>
            </w:r>
            <w:r>
              <w:rPr>
                <w:rStyle w:val="46"/>
                <w:rFonts w:hint="eastAsia" w:ascii="仿宋_GB2312" w:hAnsi="宋体"/>
                <w:b w:val="0"/>
                <w:bCs/>
                <w:color w:val="0F1115"/>
                <w:kern w:val="0"/>
                <w:sz w:val="18"/>
                <w:szCs w:val="18"/>
              </w:rPr>
              <w:t>贵州新茶饮 精制绿茶</w:t>
            </w:r>
          </w:p>
        </w:tc>
        <w:tc>
          <w:tcPr>
            <w:tcW w:w="553" w:type="pct"/>
            <w:tcBorders>
              <w:top w:val="single" w:color="auto" w:sz="4" w:space="0"/>
              <w:left w:val="single" w:color="auto" w:sz="4" w:space="0"/>
              <w:bottom w:val="single" w:color="auto" w:sz="4" w:space="0"/>
              <w:right w:val="single" w:color="auto" w:sz="4" w:space="0"/>
            </w:tcBorders>
            <w:vAlign w:val="center"/>
          </w:tcPr>
          <w:p w14:paraId="403EE99E">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新茶饮烘青</w:t>
            </w:r>
            <w:r>
              <w:rPr>
                <w:rFonts w:hint="eastAsia" w:ascii="仿宋_GB2312"/>
                <w:color w:val="0F1115"/>
                <w:kern w:val="0"/>
                <w:sz w:val="18"/>
                <w:szCs w:val="18"/>
              </w:rPr>
              <w:t>/</w:t>
            </w:r>
            <w:r>
              <w:rPr>
                <w:rFonts w:hint="eastAsia" w:ascii="仿宋_GB2312" w:hAnsi="宋体"/>
                <w:color w:val="0F1115"/>
                <w:kern w:val="0"/>
                <w:sz w:val="18"/>
                <w:szCs w:val="18"/>
              </w:rPr>
              <w:t>炒青精制绿茶</w:t>
            </w:r>
          </w:p>
        </w:tc>
        <w:tc>
          <w:tcPr>
            <w:tcW w:w="704" w:type="pct"/>
            <w:tcBorders>
              <w:top w:val="single" w:color="auto" w:sz="4" w:space="0"/>
              <w:left w:val="single" w:color="auto" w:sz="4" w:space="0"/>
              <w:bottom w:val="single" w:color="auto" w:sz="4" w:space="0"/>
              <w:right w:val="single" w:color="auto" w:sz="4" w:space="0"/>
            </w:tcBorders>
            <w:vAlign w:val="center"/>
          </w:tcPr>
          <w:p w14:paraId="5197FDAD">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 (</w:t>
            </w:r>
            <w:r>
              <w:rPr>
                <w:rFonts w:hint="eastAsia" w:ascii="仿宋_GB2312" w:hAnsi="宋体"/>
                <w:color w:val="0F1115"/>
                <w:kern w:val="0"/>
                <w:sz w:val="18"/>
                <w:szCs w:val="18"/>
              </w:rPr>
              <w:t>多数等级</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7.1 (</w:t>
            </w:r>
            <w:r>
              <w:rPr>
                <w:rFonts w:hint="eastAsia" w:ascii="仿宋_GB2312" w:hAnsi="宋体"/>
                <w:color w:val="0F1115"/>
                <w:kern w:val="0"/>
                <w:sz w:val="18"/>
                <w:szCs w:val="18"/>
              </w:rPr>
              <w:t>部分等级</w:t>
            </w:r>
            <w:r>
              <w:rPr>
                <w:rFonts w:hint="eastAsia" w:ascii="仿宋_GB2312"/>
                <w:color w:val="0F1115"/>
                <w:kern w:val="0"/>
                <w:sz w:val="18"/>
                <w:szCs w:val="18"/>
              </w:rPr>
              <w:t>)</w:t>
            </w:r>
          </w:p>
        </w:tc>
        <w:tc>
          <w:tcPr>
            <w:tcW w:w="553" w:type="pct"/>
            <w:tcBorders>
              <w:top w:val="single" w:color="auto" w:sz="4" w:space="0"/>
              <w:left w:val="single" w:color="auto" w:sz="4" w:space="0"/>
              <w:bottom w:val="single" w:color="auto" w:sz="4" w:space="0"/>
              <w:right w:val="single" w:color="auto" w:sz="4" w:space="0"/>
            </w:tcBorders>
            <w:vAlign w:val="center"/>
          </w:tcPr>
          <w:p w14:paraId="0995111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 (</w:t>
            </w:r>
            <w:r>
              <w:rPr>
                <w:rFonts w:hint="eastAsia" w:ascii="仿宋_GB2312" w:hAnsi="宋体"/>
                <w:color w:val="0F1115"/>
                <w:kern w:val="0"/>
                <w:sz w:val="18"/>
                <w:szCs w:val="18"/>
              </w:rPr>
              <w:t>多数</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7.6/7.7 (</w:t>
            </w:r>
            <w:r>
              <w:rPr>
                <w:rFonts w:hint="eastAsia" w:ascii="仿宋_GB2312" w:hAnsi="宋体"/>
                <w:color w:val="0F1115"/>
                <w:kern w:val="0"/>
                <w:sz w:val="18"/>
                <w:szCs w:val="18"/>
              </w:rPr>
              <w:t>个别</w:t>
            </w:r>
            <w:r>
              <w:rPr>
                <w:rFonts w:hint="eastAsia" w:ascii="仿宋_GB2312"/>
                <w:color w:val="0F1115"/>
                <w:kern w:val="0"/>
                <w:sz w:val="18"/>
                <w:szCs w:val="18"/>
              </w:rPr>
              <w:t>)</w:t>
            </w:r>
          </w:p>
        </w:tc>
        <w:tc>
          <w:tcPr>
            <w:tcW w:w="734" w:type="pct"/>
            <w:tcBorders>
              <w:top w:val="single" w:color="auto" w:sz="4" w:space="0"/>
              <w:left w:val="single" w:color="auto" w:sz="4" w:space="0"/>
              <w:bottom w:val="single" w:color="auto" w:sz="4" w:space="0"/>
              <w:right w:val="single" w:color="auto" w:sz="4" w:space="0"/>
            </w:tcBorders>
            <w:vAlign w:val="center"/>
          </w:tcPr>
          <w:p w14:paraId="13751DB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c>
          <w:tcPr>
            <w:tcW w:w="616" w:type="pct"/>
            <w:tcBorders>
              <w:top w:val="single" w:color="auto" w:sz="4" w:space="0"/>
              <w:left w:val="single" w:color="auto" w:sz="4" w:space="0"/>
              <w:bottom w:val="single" w:color="auto" w:sz="4" w:space="0"/>
              <w:right w:val="single" w:color="auto" w:sz="4" w:space="0"/>
            </w:tcBorders>
            <w:vAlign w:val="center"/>
          </w:tcPr>
          <w:p w14:paraId="6D5AA8F3">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36.0 (</w:t>
            </w:r>
            <w:r>
              <w:rPr>
                <w:rFonts w:hint="eastAsia" w:ascii="仿宋_GB2312" w:hAnsi="宋体"/>
                <w:color w:val="0F1115"/>
                <w:kern w:val="0"/>
                <w:sz w:val="18"/>
                <w:szCs w:val="18"/>
              </w:rPr>
              <w:t>高级别</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34.0 (</w:t>
            </w:r>
            <w:r>
              <w:rPr>
                <w:rFonts w:hint="eastAsia" w:ascii="仿宋_GB2312" w:hAnsi="宋体"/>
                <w:color w:val="0F1115"/>
                <w:kern w:val="0"/>
                <w:sz w:val="18"/>
                <w:szCs w:val="18"/>
              </w:rPr>
              <w:t>低级别</w:t>
            </w:r>
            <w:r>
              <w:rPr>
                <w:rFonts w:hint="eastAsia" w:ascii="仿宋_GB2312"/>
                <w:color w:val="0F1115"/>
                <w:kern w:val="0"/>
                <w:sz w:val="18"/>
                <w:szCs w:val="18"/>
              </w:rPr>
              <w:t>)</w:t>
            </w:r>
          </w:p>
        </w:tc>
        <w:tc>
          <w:tcPr>
            <w:tcW w:w="660" w:type="pct"/>
            <w:tcBorders>
              <w:top w:val="single" w:color="auto" w:sz="4" w:space="0"/>
              <w:left w:val="single" w:color="auto" w:sz="4" w:space="0"/>
              <w:bottom w:val="single" w:color="auto" w:sz="4" w:space="0"/>
              <w:right w:val="single" w:color="auto" w:sz="4" w:space="0"/>
            </w:tcBorders>
            <w:vAlign w:val="center"/>
          </w:tcPr>
          <w:p w14:paraId="21A96CB5">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14.0 (</w:t>
            </w:r>
            <w:r>
              <w:rPr>
                <w:rFonts w:hint="eastAsia" w:ascii="仿宋_GB2312" w:hAnsi="宋体"/>
                <w:color w:val="0F1115"/>
                <w:kern w:val="0"/>
                <w:sz w:val="18"/>
                <w:szCs w:val="18"/>
              </w:rPr>
              <w:t>高级别</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12.0 (</w:t>
            </w:r>
            <w:r>
              <w:rPr>
                <w:rFonts w:hint="eastAsia" w:ascii="仿宋_GB2312" w:hAnsi="宋体"/>
                <w:color w:val="0F1115"/>
                <w:kern w:val="0"/>
                <w:sz w:val="18"/>
                <w:szCs w:val="18"/>
              </w:rPr>
              <w:t>低级别</w:t>
            </w:r>
            <w:r>
              <w:rPr>
                <w:rFonts w:hint="eastAsia" w:ascii="仿宋_GB2312"/>
                <w:color w:val="0F1115"/>
                <w:kern w:val="0"/>
                <w:sz w:val="18"/>
                <w:szCs w:val="18"/>
              </w:rPr>
              <w:t>)</w:t>
            </w:r>
          </w:p>
        </w:tc>
        <w:tc>
          <w:tcPr>
            <w:tcW w:w="639" w:type="pct"/>
            <w:tcBorders>
              <w:top w:val="single" w:color="auto" w:sz="4" w:space="0"/>
              <w:left w:val="single" w:color="auto" w:sz="4" w:space="0"/>
              <w:bottom w:val="single" w:color="auto" w:sz="4" w:space="0"/>
              <w:right w:val="single" w:color="auto" w:sz="4" w:space="0"/>
            </w:tcBorders>
            <w:vAlign w:val="center"/>
          </w:tcPr>
          <w:p w14:paraId="41529EE6">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筛号茶粒度要求（</w:t>
            </w:r>
            <w:r>
              <w:rPr>
                <w:rFonts w:hint="eastAsia" w:ascii="仿宋_GB2312"/>
                <w:color w:val="0F1115"/>
                <w:kern w:val="0"/>
                <w:sz w:val="18"/>
                <w:szCs w:val="18"/>
              </w:rPr>
              <w:t>7</w:t>
            </w:r>
            <w:r>
              <w:rPr>
                <w:rFonts w:hint="eastAsia" w:ascii="仿宋_GB2312" w:hAnsi="宋体"/>
                <w:color w:val="0F1115"/>
                <w:kern w:val="0"/>
                <w:sz w:val="18"/>
                <w:szCs w:val="18"/>
              </w:rPr>
              <w:t>孔</w:t>
            </w:r>
            <w:r>
              <w:rPr>
                <w:rFonts w:hint="eastAsia" w:ascii="仿宋_GB2312"/>
                <w:color w:val="0F1115"/>
                <w:kern w:val="0"/>
                <w:sz w:val="18"/>
                <w:szCs w:val="18"/>
              </w:rPr>
              <w:t>/12</w:t>
            </w:r>
            <w:r>
              <w:rPr>
                <w:rFonts w:hint="eastAsia" w:ascii="仿宋_GB2312" w:hAnsi="宋体"/>
                <w:color w:val="0F1115"/>
                <w:kern w:val="0"/>
                <w:sz w:val="18"/>
                <w:szCs w:val="18"/>
              </w:rPr>
              <w:t>孔等）</w:t>
            </w:r>
          </w:p>
        </w:tc>
      </w:tr>
      <w:tr w14:paraId="2603E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7F6E1401">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T/CTSS 76-2023 </w:t>
            </w:r>
            <w:r>
              <w:rPr>
                <w:rStyle w:val="46"/>
                <w:rFonts w:hint="eastAsia" w:ascii="仿宋_GB2312" w:hAnsi="宋体"/>
                <w:b w:val="0"/>
                <w:bCs/>
                <w:color w:val="0F1115"/>
                <w:kern w:val="0"/>
                <w:sz w:val="18"/>
                <w:szCs w:val="18"/>
              </w:rPr>
              <w:t>现制茶饮料 茶叶原料</w:t>
            </w:r>
          </w:p>
        </w:tc>
        <w:tc>
          <w:tcPr>
            <w:tcW w:w="553" w:type="pct"/>
            <w:tcBorders>
              <w:top w:val="single" w:color="auto" w:sz="4" w:space="0"/>
              <w:left w:val="single" w:color="auto" w:sz="4" w:space="0"/>
              <w:bottom w:val="single" w:color="auto" w:sz="4" w:space="0"/>
              <w:right w:val="single" w:color="auto" w:sz="4" w:space="0"/>
            </w:tcBorders>
            <w:vAlign w:val="center"/>
          </w:tcPr>
          <w:p w14:paraId="5BA65343">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原味茶</w:t>
            </w:r>
            <w:r>
              <w:rPr>
                <w:rFonts w:hint="eastAsia" w:ascii="仿宋_GB2312"/>
                <w:color w:val="0F1115"/>
                <w:kern w:val="0"/>
                <w:sz w:val="18"/>
                <w:szCs w:val="18"/>
              </w:rPr>
              <w:t>/</w:t>
            </w:r>
            <w:r>
              <w:rPr>
                <w:rFonts w:hint="eastAsia" w:ascii="仿宋_GB2312" w:hAnsi="宋体"/>
                <w:color w:val="0F1115"/>
                <w:kern w:val="0"/>
                <w:sz w:val="18"/>
                <w:szCs w:val="18"/>
              </w:rPr>
              <w:t>调味茶原料</w:t>
            </w:r>
          </w:p>
        </w:tc>
        <w:tc>
          <w:tcPr>
            <w:tcW w:w="704" w:type="pct"/>
            <w:tcBorders>
              <w:top w:val="single" w:color="auto" w:sz="4" w:space="0"/>
              <w:left w:val="single" w:color="auto" w:sz="4" w:space="0"/>
              <w:bottom w:val="single" w:color="auto" w:sz="4" w:space="0"/>
              <w:right w:val="single" w:color="auto" w:sz="4" w:space="0"/>
            </w:tcBorders>
            <w:vAlign w:val="center"/>
          </w:tcPr>
          <w:p w14:paraId="42AF767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符合相应茶类国标</w:t>
            </w:r>
          </w:p>
        </w:tc>
        <w:tc>
          <w:tcPr>
            <w:tcW w:w="553" w:type="pct"/>
            <w:tcBorders>
              <w:top w:val="single" w:color="auto" w:sz="4" w:space="0"/>
              <w:left w:val="single" w:color="auto" w:sz="4" w:space="0"/>
              <w:bottom w:val="single" w:color="auto" w:sz="4" w:space="0"/>
              <w:right w:val="single" w:color="auto" w:sz="4" w:space="0"/>
            </w:tcBorders>
            <w:vAlign w:val="center"/>
          </w:tcPr>
          <w:p w14:paraId="590C3DC1">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c>
          <w:tcPr>
            <w:tcW w:w="734" w:type="pct"/>
            <w:tcBorders>
              <w:top w:val="single" w:color="auto" w:sz="4" w:space="0"/>
              <w:left w:val="single" w:color="auto" w:sz="4" w:space="0"/>
              <w:bottom w:val="single" w:color="auto" w:sz="4" w:space="0"/>
              <w:right w:val="single" w:color="auto" w:sz="4" w:space="0"/>
            </w:tcBorders>
            <w:vAlign w:val="center"/>
          </w:tcPr>
          <w:p w14:paraId="40AB613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c>
          <w:tcPr>
            <w:tcW w:w="616" w:type="pct"/>
            <w:tcBorders>
              <w:top w:val="single" w:color="auto" w:sz="4" w:space="0"/>
              <w:left w:val="single" w:color="auto" w:sz="4" w:space="0"/>
              <w:bottom w:val="single" w:color="auto" w:sz="4" w:space="0"/>
              <w:right w:val="single" w:color="auto" w:sz="4" w:space="0"/>
            </w:tcBorders>
            <w:vAlign w:val="center"/>
          </w:tcPr>
          <w:p w14:paraId="45B01690">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原味茶</w:t>
            </w:r>
            <w:r>
              <w:rPr>
                <w:rFonts w:hint="eastAsia" w:ascii="仿宋_GB2312"/>
                <w:color w:val="0F1115"/>
                <w:kern w:val="0"/>
                <w:sz w:val="18"/>
                <w:szCs w:val="18"/>
              </w:rPr>
              <w:t>≥</w:t>
            </w:r>
            <w:r>
              <w:rPr>
                <w:rFonts w:hint="eastAsia" w:ascii="仿宋_GB2312" w:hAnsi="宋体"/>
                <w:color w:val="0F1115"/>
                <w:kern w:val="0"/>
                <w:sz w:val="18"/>
                <w:szCs w:val="18"/>
              </w:rPr>
              <w:t>相应茶类国标</w:t>
            </w:r>
            <w:r>
              <w:rPr>
                <w:rFonts w:hint="eastAsia" w:ascii="仿宋_GB2312"/>
                <w:color w:val="0F1115"/>
                <w:kern w:val="0"/>
                <w:sz w:val="18"/>
                <w:szCs w:val="18"/>
              </w:rPr>
              <w:br w:type="textWrapping"/>
            </w:r>
            <w:r>
              <w:rPr>
                <w:rFonts w:hint="eastAsia" w:ascii="仿宋_GB2312" w:hAnsi="宋体"/>
                <w:color w:val="0F1115"/>
                <w:kern w:val="0"/>
                <w:sz w:val="18"/>
                <w:szCs w:val="18"/>
              </w:rPr>
              <w:t>调味茶</w:t>
            </w:r>
            <w:r>
              <w:rPr>
                <w:rFonts w:hint="eastAsia" w:ascii="仿宋_GB2312"/>
                <w:color w:val="0F1115"/>
                <w:kern w:val="0"/>
                <w:sz w:val="18"/>
                <w:szCs w:val="18"/>
              </w:rPr>
              <w:t>≥25.0</w:t>
            </w:r>
          </w:p>
        </w:tc>
        <w:tc>
          <w:tcPr>
            <w:tcW w:w="660" w:type="pct"/>
            <w:tcBorders>
              <w:top w:val="single" w:color="auto" w:sz="4" w:space="0"/>
              <w:left w:val="single" w:color="auto" w:sz="4" w:space="0"/>
              <w:bottom w:val="single" w:color="auto" w:sz="4" w:space="0"/>
              <w:right w:val="single" w:color="auto" w:sz="4" w:space="0"/>
            </w:tcBorders>
            <w:vAlign w:val="center"/>
          </w:tcPr>
          <w:p w14:paraId="4629B1D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c>
          <w:tcPr>
            <w:tcW w:w="639" w:type="pct"/>
            <w:tcBorders>
              <w:top w:val="single" w:color="auto" w:sz="4" w:space="0"/>
              <w:left w:val="single" w:color="auto" w:sz="4" w:space="0"/>
              <w:bottom w:val="single" w:color="auto" w:sz="4" w:space="0"/>
              <w:right w:val="single" w:color="auto" w:sz="4" w:space="0"/>
            </w:tcBorders>
            <w:vAlign w:val="center"/>
          </w:tcPr>
          <w:p w14:paraId="63B1B1B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r>
      <w:tr w14:paraId="2EA02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37BFC897">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T/GXAS 248-2021 </w:t>
            </w:r>
            <w:r>
              <w:rPr>
                <w:rStyle w:val="46"/>
                <w:rFonts w:hint="eastAsia" w:ascii="仿宋_GB2312" w:hAnsi="宋体"/>
                <w:b w:val="0"/>
                <w:bCs/>
                <w:color w:val="0F1115"/>
                <w:kern w:val="0"/>
                <w:sz w:val="18"/>
                <w:szCs w:val="18"/>
              </w:rPr>
              <w:t>广西优质绿茶</w:t>
            </w:r>
          </w:p>
        </w:tc>
        <w:tc>
          <w:tcPr>
            <w:tcW w:w="553" w:type="pct"/>
            <w:tcBorders>
              <w:top w:val="single" w:color="auto" w:sz="4" w:space="0"/>
              <w:left w:val="single" w:color="auto" w:sz="4" w:space="0"/>
              <w:bottom w:val="single" w:color="auto" w:sz="4" w:space="0"/>
              <w:right w:val="single" w:color="auto" w:sz="4" w:space="0"/>
            </w:tcBorders>
            <w:vAlign w:val="center"/>
          </w:tcPr>
          <w:p w14:paraId="15D7DE19">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广西优质绿茶</w:t>
            </w:r>
          </w:p>
        </w:tc>
        <w:tc>
          <w:tcPr>
            <w:tcW w:w="704" w:type="pct"/>
            <w:tcBorders>
              <w:top w:val="single" w:color="auto" w:sz="4" w:space="0"/>
              <w:left w:val="single" w:color="auto" w:sz="4" w:space="0"/>
              <w:bottom w:val="single" w:color="auto" w:sz="4" w:space="0"/>
              <w:right w:val="single" w:color="auto" w:sz="4" w:space="0"/>
            </w:tcBorders>
            <w:vAlign w:val="center"/>
          </w:tcPr>
          <w:p w14:paraId="3007EEC2">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26D75AF6">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4D358840">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1.0</w:t>
            </w:r>
          </w:p>
        </w:tc>
        <w:tc>
          <w:tcPr>
            <w:tcW w:w="616" w:type="pct"/>
            <w:tcBorders>
              <w:top w:val="single" w:color="auto" w:sz="4" w:space="0"/>
              <w:left w:val="single" w:color="auto" w:sz="4" w:space="0"/>
              <w:bottom w:val="single" w:color="auto" w:sz="4" w:space="0"/>
              <w:right w:val="single" w:color="auto" w:sz="4" w:space="0"/>
            </w:tcBorders>
            <w:vAlign w:val="center"/>
          </w:tcPr>
          <w:p w14:paraId="10DA3F12">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38.0</w:t>
            </w:r>
          </w:p>
        </w:tc>
        <w:tc>
          <w:tcPr>
            <w:tcW w:w="660" w:type="pct"/>
            <w:tcBorders>
              <w:top w:val="single" w:color="auto" w:sz="4" w:space="0"/>
              <w:left w:val="single" w:color="auto" w:sz="4" w:space="0"/>
              <w:bottom w:val="single" w:color="auto" w:sz="4" w:space="0"/>
              <w:right w:val="single" w:color="auto" w:sz="4" w:space="0"/>
            </w:tcBorders>
            <w:vAlign w:val="center"/>
          </w:tcPr>
          <w:p w14:paraId="6DC50595">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大叶种</w:t>
            </w:r>
            <w:r>
              <w:rPr>
                <w:rFonts w:hint="eastAsia" w:ascii="仿宋_GB2312"/>
                <w:color w:val="0F1115"/>
                <w:kern w:val="0"/>
                <w:sz w:val="18"/>
                <w:szCs w:val="18"/>
              </w:rPr>
              <w:t>≥17.0</w:t>
            </w:r>
            <w:r>
              <w:rPr>
                <w:rFonts w:hint="eastAsia" w:ascii="仿宋_GB2312"/>
                <w:color w:val="0F1115"/>
                <w:kern w:val="0"/>
                <w:sz w:val="18"/>
                <w:szCs w:val="18"/>
              </w:rPr>
              <w:br w:type="textWrapping"/>
            </w:r>
            <w:r>
              <w:rPr>
                <w:rFonts w:hint="eastAsia" w:ascii="仿宋_GB2312" w:hAnsi="宋体"/>
                <w:color w:val="0F1115"/>
                <w:kern w:val="0"/>
                <w:sz w:val="18"/>
                <w:szCs w:val="18"/>
              </w:rPr>
              <w:t>中小叶种</w:t>
            </w:r>
            <w:r>
              <w:rPr>
                <w:rFonts w:hint="eastAsia" w:ascii="仿宋_GB2312"/>
                <w:color w:val="0F1115"/>
                <w:kern w:val="0"/>
                <w:sz w:val="18"/>
                <w:szCs w:val="18"/>
              </w:rPr>
              <w:t xml:space="preserve">≥15.0 </w:t>
            </w:r>
          </w:p>
        </w:tc>
        <w:tc>
          <w:tcPr>
            <w:tcW w:w="639" w:type="pct"/>
            <w:tcBorders>
              <w:top w:val="single" w:color="auto" w:sz="4" w:space="0"/>
              <w:left w:val="single" w:color="auto" w:sz="4" w:space="0"/>
              <w:bottom w:val="single" w:color="auto" w:sz="4" w:space="0"/>
              <w:right w:val="single" w:color="auto" w:sz="4" w:space="0"/>
            </w:tcBorders>
            <w:vAlign w:val="center"/>
          </w:tcPr>
          <w:p w14:paraId="6821D9E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粗纤维</w:t>
            </w:r>
            <w:r>
              <w:rPr>
                <w:rFonts w:hint="eastAsia" w:ascii="仿宋_GB2312"/>
                <w:color w:val="0F1115"/>
                <w:kern w:val="0"/>
                <w:sz w:val="18"/>
                <w:szCs w:val="18"/>
              </w:rPr>
              <w:t>≤15.0％</w:t>
            </w:r>
            <w:r>
              <w:rPr>
                <w:rFonts w:hint="eastAsia" w:ascii="仿宋_GB2312" w:hAnsi="宋体"/>
                <w:color w:val="0F1115"/>
                <w:kern w:val="0"/>
                <w:sz w:val="18"/>
                <w:szCs w:val="18"/>
              </w:rPr>
              <w:t>；酸不溶性灰分</w:t>
            </w:r>
            <w:r>
              <w:rPr>
                <w:rFonts w:hint="eastAsia" w:ascii="仿宋_GB2312"/>
                <w:color w:val="0F1115"/>
                <w:kern w:val="0"/>
                <w:sz w:val="18"/>
                <w:szCs w:val="18"/>
              </w:rPr>
              <w:t>≤0.5％</w:t>
            </w:r>
            <w:r>
              <w:rPr>
                <w:rFonts w:hint="eastAsia" w:ascii="仿宋_GB2312" w:hAnsi="宋体"/>
                <w:color w:val="0F1115"/>
                <w:kern w:val="0"/>
                <w:sz w:val="18"/>
                <w:szCs w:val="18"/>
              </w:rPr>
              <w:t>；水溶性灰分</w:t>
            </w:r>
            <w:r>
              <w:rPr>
                <w:rFonts w:hint="eastAsia" w:ascii="仿宋_GB2312"/>
                <w:color w:val="0F1115"/>
                <w:kern w:val="0"/>
                <w:sz w:val="18"/>
                <w:szCs w:val="18"/>
              </w:rPr>
              <w:t>≥45.0</w:t>
            </w:r>
          </w:p>
        </w:tc>
      </w:tr>
      <w:tr w14:paraId="7127D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0BAB47F5">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T/HBTSS 031-2025 </w:t>
            </w:r>
            <w:r>
              <w:rPr>
                <w:rStyle w:val="46"/>
                <w:rFonts w:hint="eastAsia" w:ascii="仿宋_GB2312" w:hAnsi="宋体"/>
                <w:b w:val="0"/>
                <w:bCs/>
                <w:color w:val="0F1115"/>
                <w:kern w:val="0"/>
                <w:sz w:val="18"/>
                <w:szCs w:val="18"/>
              </w:rPr>
              <w:t>英山大宗绿茶</w:t>
            </w:r>
          </w:p>
        </w:tc>
        <w:tc>
          <w:tcPr>
            <w:tcW w:w="553" w:type="pct"/>
            <w:tcBorders>
              <w:top w:val="single" w:color="auto" w:sz="4" w:space="0"/>
              <w:left w:val="single" w:color="auto" w:sz="4" w:space="0"/>
              <w:bottom w:val="single" w:color="auto" w:sz="4" w:space="0"/>
              <w:right w:val="single" w:color="auto" w:sz="4" w:space="0"/>
            </w:tcBorders>
            <w:vAlign w:val="center"/>
          </w:tcPr>
          <w:p w14:paraId="108C7277">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英山大宗绿茶</w:t>
            </w:r>
          </w:p>
        </w:tc>
        <w:tc>
          <w:tcPr>
            <w:tcW w:w="704" w:type="pct"/>
            <w:tcBorders>
              <w:top w:val="single" w:color="auto" w:sz="4" w:space="0"/>
              <w:left w:val="single" w:color="auto" w:sz="4" w:space="0"/>
              <w:bottom w:val="single" w:color="auto" w:sz="4" w:space="0"/>
              <w:right w:val="single" w:color="auto" w:sz="4" w:space="0"/>
            </w:tcBorders>
            <w:vAlign w:val="center"/>
          </w:tcPr>
          <w:p w14:paraId="27E658A0">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2D574B3C">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6.5</w:t>
            </w:r>
          </w:p>
        </w:tc>
        <w:tc>
          <w:tcPr>
            <w:tcW w:w="734" w:type="pct"/>
            <w:tcBorders>
              <w:top w:val="single" w:color="auto" w:sz="4" w:space="0"/>
              <w:left w:val="single" w:color="auto" w:sz="4" w:space="0"/>
              <w:bottom w:val="single" w:color="auto" w:sz="4" w:space="0"/>
              <w:right w:val="single" w:color="auto" w:sz="4" w:space="0"/>
            </w:tcBorders>
            <w:vAlign w:val="center"/>
          </w:tcPr>
          <w:p w14:paraId="44774466">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1.0 (</w:t>
            </w:r>
            <w:r>
              <w:rPr>
                <w:rFonts w:hint="eastAsia" w:ascii="仿宋_GB2312" w:hAnsi="宋体"/>
                <w:color w:val="0F1115"/>
                <w:kern w:val="0"/>
                <w:sz w:val="18"/>
                <w:szCs w:val="18"/>
              </w:rPr>
              <w:t>粉末</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4.0 (</w:t>
            </w:r>
            <w:r>
              <w:rPr>
                <w:rFonts w:hint="eastAsia" w:ascii="仿宋_GB2312" w:hAnsi="宋体"/>
                <w:color w:val="0F1115"/>
                <w:kern w:val="0"/>
                <w:sz w:val="18"/>
                <w:szCs w:val="18"/>
              </w:rPr>
              <w:t>碎茶</w:t>
            </w:r>
            <w:r>
              <w:rPr>
                <w:rFonts w:hint="eastAsia" w:ascii="仿宋_GB2312"/>
                <w:color w:val="0F1115"/>
                <w:kern w:val="0"/>
                <w:sz w:val="18"/>
                <w:szCs w:val="18"/>
              </w:rPr>
              <w:t>)</w:t>
            </w:r>
          </w:p>
        </w:tc>
        <w:tc>
          <w:tcPr>
            <w:tcW w:w="616" w:type="pct"/>
            <w:tcBorders>
              <w:top w:val="single" w:color="auto" w:sz="4" w:space="0"/>
              <w:left w:val="single" w:color="auto" w:sz="4" w:space="0"/>
              <w:bottom w:val="single" w:color="auto" w:sz="4" w:space="0"/>
              <w:right w:val="single" w:color="auto" w:sz="4" w:space="0"/>
            </w:tcBorders>
            <w:vAlign w:val="center"/>
          </w:tcPr>
          <w:p w14:paraId="14C5C8A6">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32.0</w:t>
            </w:r>
          </w:p>
        </w:tc>
        <w:tc>
          <w:tcPr>
            <w:tcW w:w="660" w:type="pct"/>
            <w:tcBorders>
              <w:top w:val="single" w:color="auto" w:sz="4" w:space="0"/>
              <w:left w:val="single" w:color="auto" w:sz="4" w:space="0"/>
              <w:bottom w:val="single" w:color="auto" w:sz="4" w:space="0"/>
              <w:right w:val="single" w:color="auto" w:sz="4" w:space="0"/>
            </w:tcBorders>
            <w:vAlign w:val="center"/>
          </w:tcPr>
          <w:p w14:paraId="57985A73">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w:t>
            </w:r>
          </w:p>
        </w:tc>
        <w:tc>
          <w:tcPr>
            <w:tcW w:w="639" w:type="pct"/>
            <w:tcBorders>
              <w:top w:val="single" w:color="auto" w:sz="4" w:space="0"/>
              <w:left w:val="single" w:color="auto" w:sz="4" w:space="0"/>
              <w:bottom w:val="single" w:color="auto" w:sz="4" w:space="0"/>
              <w:right w:val="single" w:color="auto" w:sz="4" w:space="0"/>
            </w:tcBorders>
            <w:vAlign w:val="center"/>
          </w:tcPr>
          <w:p w14:paraId="1530CF30">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粗纤维</w:t>
            </w:r>
            <w:r>
              <w:rPr>
                <w:rFonts w:hint="eastAsia" w:ascii="仿宋_GB2312"/>
                <w:color w:val="0F1115"/>
                <w:kern w:val="0"/>
                <w:sz w:val="18"/>
                <w:szCs w:val="18"/>
              </w:rPr>
              <w:t>≤16.0％</w:t>
            </w:r>
          </w:p>
        </w:tc>
      </w:tr>
      <w:tr w14:paraId="09816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46A6A81E">
            <w:pPr>
              <w:widowControl/>
              <w:kinsoku w:val="0"/>
              <w:overflowPunct w:val="0"/>
              <w:autoSpaceDE w:val="0"/>
              <w:autoSpaceDN w:val="0"/>
              <w:ind w:firstLine="0" w:firstLineChars="0"/>
              <w:jc w:val="left"/>
              <w:textAlignment w:val="center"/>
              <w:rPr>
                <w:rFonts w:ascii="仿宋_GB2312"/>
                <w:b/>
                <w:sz w:val="18"/>
                <w:szCs w:val="18"/>
              </w:rPr>
            </w:pPr>
            <w:r>
              <w:rPr>
                <w:rStyle w:val="46"/>
                <w:rFonts w:hint="eastAsia" w:ascii="仿宋_GB2312"/>
                <w:b w:val="0"/>
                <w:bCs/>
                <w:color w:val="0F1115"/>
                <w:kern w:val="0"/>
                <w:sz w:val="18"/>
                <w:szCs w:val="18"/>
              </w:rPr>
              <w:t xml:space="preserve">T/HBTSS 032-2025 </w:t>
            </w:r>
            <w:r>
              <w:rPr>
                <w:rStyle w:val="46"/>
                <w:rFonts w:hint="eastAsia" w:ascii="仿宋_GB2312" w:hAnsi="宋体"/>
                <w:b w:val="0"/>
                <w:bCs/>
                <w:color w:val="0F1115"/>
                <w:kern w:val="0"/>
                <w:sz w:val="18"/>
                <w:szCs w:val="18"/>
              </w:rPr>
              <w:t>英山出口绿茶</w:t>
            </w:r>
          </w:p>
        </w:tc>
        <w:tc>
          <w:tcPr>
            <w:tcW w:w="553" w:type="pct"/>
            <w:tcBorders>
              <w:top w:val="single" w:color="auto" w:sz="4" w:space="0"/>
              <w:left w:val="single" w:color="auto" w:sz="4" w:space="0"/>
              <w:bottom w:val="single" w:color="auto" w:sz="4" w:space="0"/>
              <w:right w:val="single" w:color="auto" w:sz="4" w:space="0"/>
            </w:tcBorders>
            <w:vAlign w:val="center"/>
          </w:tcPr>
          <w:p w14:paraId="4D2173F1">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color w:val="0F1115"/>
                <w:kern w:val="0"/>
                <w:sz w:val="18"/>
                <w:szCs w:val="18"/>
              </w:rPr>
              <w:t>眉茶（出口）</w:t>
            </w:r>
          </w:p>
        </w:tc>
        <w:tc>
          <w:tcPr>
            <w:tcW w:w="704" w:type="pct"/>
            <w:tcBorders>
              <w:top w:val="single" w:color="auto" w:sz="4" w:space="0"/>
              <w:left w:val="single" w:color="auto" w:sz="4" w:space="0"/>
              <w:bottom w:val="single" w:color="auto" w:sz="4" w:space="0"/>
              <w:right w:val="single" w:color="auto" w:sz="4" w:space="0"/>
            </w:tcBorders>
            <w:vAlign w:val="center"/>
          </w:tcPr>
          <w:p w14:paraId="144777B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4CEA46AD">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77BE415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1.0 (</w:t>
            </w:r>
            <w:r>
              <w:rPr>
                <w:rFonts w:hint="eastAsia" w:ascii="仿宋_GB2312" w:hAnsi="宋体"/>
                <w:color w:val="0F1115"/>
                <w:kern w:val="0"/>
                <w:sz w:val="18"/>
                <w:szCs w:val="18"/>
              </w:rPr>
              <w:t>珍眉</w:t>
            </w:r>
            <w:r>
              <w:rPr>
                <w:rFonts w:hint="eastAsia" w:ascii="仿宋_GB2312"/>
                <w:color w:val="0F1115"/>
                <w:kern w:val="0"/>
                <w:sz w:val="18"/>
                <w:szCs w:val="18"/>
              </w:rPr>
              <w:t>/</w:t>
            </w:r>
            <w:r>
              <w:rPr>
                <w:rFonts w:hint="eastAsia" w:ascii="仿宋_GB2312" w:hAnsi="宋体"/>
                <w:color w:val="0F1115"/>
                <w:kern w:val="0"/>
                <w:sz w:val="18"/>
                <w:szCs w:val="18"/>
              </w:rPr>
              <w:t>雨茶</w:t>
            </w:r>
            <w:r>
              <w:rPr>
                <w:rFonts w:hint="eastAsia" w:ascii="仿宋_GB2312"/>
                <w:color w:val="0F1115"/>
                <w:kern w:val="0"/>
                <w:sz w:val="18"/>
                <w:szCs w:val="18"/>
              </w:rPr>
              <w:t>/</w:t>
            </w:r>
            <w:r>
              <w:rPr>
                <w:rFonts w:hint="eastAsia" w:ascii="仿宋_GB2312" w:hAnsi="宋体"/>
                <w:color w:val="0F1115"/>
                <w:kern w:val="0"/>
                <w:sz w:val="18"/>
                <w:szCs w:val="18"/>
              </w:rPr>
              <w:t>贡熙</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1.5 (</w:t>
            </w:r>
            <w:r>
              <w:rPr>
                <w:rFonts w:hint="eastAsia" w:ascii="仿宋_GB2312" w:hAnsi="宋体"/>
                <w:color w:val="0F1115"/>
                <w:kern w:val="0"/>
                <w:sz w:val="18"/>
                <w:szCs w:val="18"/>
              </w:rPr>
              <w:t>秀眉</w:t>
            </w:r>
            <w:r>
              <w:rPr>
                <w:rFonts w:hint="eastAsia" w:ascii="仿宋_GB2312"/>
                <w:color w:val="0F1115"/>
                <w:kern w:val="0"/>
                <w:sz w:val="18"/>
                <w:szCs w:val="18"/>
              </w:rPr>
              <w:t>)</w:t>
            </w:r>
          </w:p>
        </w:tc>
        <w:tc>
          <w:tcPr>
            <w:tcW w:w="616" w:type="pct"/>
            <w:tcBorders>
              <w:top w:val="single" w:color="auto" w:sz="4" w:space="0"/>
              <w:left w:val="single" w:color="auto" w:sz="4" w:space="0"/>
              <w:bottom w:val="single" w:color="auto" w:sz="4" w:space="0"/>
              <w:right w:val="single" w:color="auto" w:sz="4" w:space="0"/>
            </w:tcBorders>
            <w:vAlign w:val="center"/>
          </w:tcPr>
          <w:p w14:paraId="78C1F87F">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36.0 (</w:t>
            </w:r>
            <w:r>
              <w:rPr>
                <w:rFonts w:hint="eastAsia" w:ascii="仿宋_GB2312" w:hAnsi="宋体"/>
                <w:color w:val="0F1115"/>
                <w:kern w:val="0"/>
                <w:sz w:val="18"/>
                <w:szCs w:val="18"/>
              </w:rPr>
              <w:t>珍眉</w:t>
            </w:r>
            <w:r>
              <w:rPr>
                <w:rFonts w:hint="eastAsia" w:ascii="仿宋_GB2312"/>
                <w:color w:val="0F1115"/>
                <w:kern w:val="0"/>
                <w:sz w:val="18"/>
                <w:szCs w:val="18"/>
              </w:rPr>
              <w:t>/</w:t>
            </w:r>
            <w:r>
              <w:rPr>
                <w:rFonts w:hint="eastAsia" w:ascii="仿宋_GB2312" w:hAnsi="宋体"/>
                <w:color w:val="0F1115"/>
                <w:kern w:val="0"/>
                <w:sz w:val="18"/>
                <w:szCs w:val="18"/>
              </w:rPr>
              <w:t>贡熙</w:t>
            </w:r>
            <w:r>
              <w:rPr>
                <w:rFonts w:hint="eastAsia" w:ascii="仿宋_GB2312"/>
                <w:color w:val="0F1115"/>
                <w:kern w:val="0"/>
                <w:sz w:val="18"/>
                <w:szCs w:val="18"/>
              </w:rPr>
              <w:t>)</w:t>
            </w:r>
            <w:r>
              <w:rPr>
                <w:rFonts w:hint="eastAsia" w:ascii="仿宋_GB2312"/>
                <w:color w:val="0F1115"/>
                <w:kern w:val="0"/>
                <w:sz w:val="18"/>
                <w:szCs w:val="18"/>
              </w:rPr>
              <w:br w:type="textWrapping"/>
            </w:r>
            <w:r>
              <w:rPr>
                <w:rFonts w:hint="eastAsia" w:ascii="仿宋_GB2312"/>
                <w:color w:val="0F1115"/>
                <w:kern w:val="0"/>
                <w:sz w:val="18"/>
                <w:szCs w:val="18"/>
              </w:rPr>
              <w:t>34.0 (</w:t>
            </w:r>
            <w:r>
              <w:rPr>
                <w:rFonts w:hint="eastAsia" w:ascii="仿宋_GB2312" w:hAnsi="宋体"/>
                <w:color w:val="0F1115"/>
                <w:kern w:val="0"/>
                <w:sz w:val="18"/>
                <w:szCs w:val="18"/>
              </w:rPr>
              <w:t>雨茶</w:t>
            </w:r>
            <w:r>
              <w:rPr>
                <w:rFonts w:hint="eastAsia" w:ascii="仿宋_GB2312"/>
                <w:color w:val="0F1115"/>
                <w:kern w:val="0"/>
                <w:sz w:val="18"/>
                <w:szCs w:val="18"/>
              </w:rPr>
              <w:t>/</w:t>
            </w:r>
            <w:r>
              <w:rPr>
                <w:rFonts w:hint="eastAsia" w:ascii="仿宋_GB2312" w:hAnsi="宋体"/>
                <w:color w:val="0F1115"/>
                <w:kern w:val="0"/>
                <w:sz w:val="18"/>
                <w:szCs w:val="18"/>
              </w:rPr>
              <w:t>秀眉</w:t>
            </w:r>
            <w:r>
              <w:rPr>
                <w:rFonts w:hint="eastAsia" w:ascii="仿宋_GB2312"/>
                <w:color w:val="0F1115"/>
                <w:kern w:val="0"/>
                <w:sz w:val="18"/>
                <w:szCs w:val="18"/>
              </w:rPr>
              <w:t>)</w:t>
            </w:r>
          </w:p>
        </w:tc>
        <w:tc>
          <w:tcPr>
            <w:tcW w:w="660" w:type="pct"/>
            <w:tcBorders>
              <w:top w:val="single" w:color="auto" w:sz="4" w:space="0"/>
              <w:left w:val="single" w:color="auto" w:sz="4" w:space="0"/>
              <w:bottom w:val="single" w:color="auto" w:sz="4" w:space="0"/>
              <w:right w:val="single" w:color="auto" w:sz="4" w:space="0"/>
            </w:tcBorders>
            <w:vAlign w:val="center"/>
          </w:tcPr>
          <w:p w14:paraId="759A90A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color w:val="0F1115"/>
                <w:kern w:val="0"/>
                <w:sz w:val="18"/>
                <w:szCs w:val="18"/>
              </w:rPr>
              <w:t>14/13/12 (</w:t>
            </w:r>
            <w:r>
              <w:rPr>
                <w:rFonts w:hint="eastAsia" w:ascii="仿宋_GB2312" w:hAnsi="宋体"/>
                <w:color w:val="0F1115"/>
                <w:kern w:val="0"/>
                <w:sz w:val="18"/>
                <w:szCs w:val="18"/>
              </w:rPr>
              <w:t>分品种</w:t>
            </w:r>
            <w:r>
              <w:rPr>
                <w:rFonts w:hint="eastAsia" w:ascii="仿宋_GB2312"/>
                <w:color w:val="0F1115"/>
                <w:kern w:val="0"/>
                <w:sz w:val="18"/>
                <w:szCs w:val="18"/>
              </w:rPr>
              <w:t>)</w:t>
            </w:r>
          </w:p>
        </w:tc>
        <w:tc>
          <w:tcPr>
            <w:tcW w:w="639" w:type="pct"/>
            <w:tcBorders>
              <w:top w:val="single" w:color="auto" w:sz="4" w:space="0"/>
              <w:left w:val="single" w:color="auto" w:sz="4" w:space="0"/>
              <w:bottom w:val="single" w:color="auto" w:sz="4" w:space="0"/>
              <w:right w:val="single" w:color="auto" w:sz="4" w:space="0"/>
            </w:tcBorders>
            <w:vAlign w:val="center"/>
          </w:tcPr>
          <w:p w14:paraId="44CFC3F1">
            <w:pPr>
              <w:widowControl/>
              <w:kinsoku w:val="0"/>
              <w:overflowPunct w:val="0"/>
              <w:autoSpaceDE w:val="0"/>
              <w:autoSpaceDN w:val="0"/>
              <w:ind w:firstLine="0" w:firstLineChars="0"/>
              <w:jc w:val="left"/>
              <w:textAlignment w:val="center"/>
              <w:rPr>
                <w:rFonts w:ascii="仿宋_GB2312"/>
                <w:sz w:val="18"/>
                <w:szCs w:val="18"/>
              </w:rPr>
            </w:pPr>
          </w:p>
        </w:tc>
      </w:tr>
      <w:tr w14:paraId="54FF7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1F060904">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GB/T 22292-2017 茉莉花茶</w:t>
            </w:r>
          </w:p>
        </w:tc>
        <w:tc>
          <w:tcPr>
            <w:tcW w:w="553" w:type="pct"/>
            <w:tcBorders>
              <w:top w:val="single" w:color="auto" w:sz="4" w:space="0"/>
              <w:left w:val="single" w:color="auto" w:sz="4" w:space="0"/>
              <w:bottom w:val="single" w:color="auto" w:sz="4" w:space="0"/>
              <w:right w:val="single" w:color="auto" w:sz="4" w:space="0"/>
            </w:tcBorders>
            <w:vAlign w:val="center"/>
          </w:tcPr>
          <w:p w14:paraId="58560442">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茉莉花茶（烘青/炒青）</w:t>
            </w:r>
          </w:p>
        </w:tc>
        <w:tc>
          <w:tcPr>
            <w:tcW w:w="704" w:type="pct"/>
            <w:tcBorders>
              <w:top w:val="single" w:color="auto" w:sz="4" w:space="0"/>
              <w:left w:val="single" w:color="auto" w:sz="4" w:space="0"/>
              <w:bottom w:val="single" w:color="auto" w:sz="4" w:space="0"/>
              <w:right w:val="single" w:color="auto" w:sz="4" w:space="0"/>
            </w:tcBorders>
            <w:vAlign w:val="center"/>
          </w:tcPr>
          <w:p w14:paraId="09B6F442">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8.5</w:t>
            </w:r>
          </w:p>
        </w:tc>
        <w:tc>
          <w:tcPr>
            <w:tcW w:w="553" w:type="pct"/>
            <w:tcBorders>
              <w:top w:val="single" w:color="auto" w:sz="4" w:space="0"/>
              <w:left w:val="single" w:color="auto" w:sz="4" w:space="0"/>
              <w:bottom w:val="single" w:color="auto" w:sz="4" w:space="0"/>
              <w:right w:val="single" w:color="auto" w:sz="4" w:space="0"/>
            </w:tcBorders>
            <w:vAlign w:val="center"/>
          </w:tcPr>
          <w:p w14:paraId="324EE6F7">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6.5 (特种/特级/一/二级)</w:t>
            </w:r>
            <w:r>
              <w:rPr>
                <w:rFonts w:ascii="仿宋_GB2312"/>
                <w:sz w:val="18"/>
                <w:szCs w:val="18"/>
              </w:rPr>
              <w:br w:type="textWrapping"/>
            </w:r>
            <w:r>
              <w:rPr>
                <w:rFonts w:ascii="仿宋_GB2312"/>
                <w:sz w:val="18"/>
                <w:szCs w:val="18"/>
              </w:rPr>
              <w:t>7.0 (三/四/五级)</w:t>
            </w:r>
          </w:p>
        </w:tc>
        <w:tc>
          <w:tcPr>
            <w:tcW w:w="734" w:type="pct"/>
            <w:tcBorders>
              <w:top w:val="single" w:color="auto" w:sz="4" w:space="0"/>
              <w:left w:val="single" w:color="auto" w:sz="4" w:space="0"/>
              <w:bottom w:val="single" w:color="auto" w:sz="4" w:space="0"/>
              <w:right w:val="single" w:color="auto" w:sz="4" w:space="0"/>
            </w:tcBorders>
            <w:vAlign w:val="center"/>
          </w:tcPr>
          <w:p w14:paraId="5F359592">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1.0 (特种～二级)</w:t>
            </w:r>
            <w:r>
              <w:rPr>
                <w:rFonts w:ascii="仿宋_GB2312"/>
                <w:sz w:val="18"/>
                <w:szCs w:val="18"/>
              </w:rPr>
              <w:br w:type="textWrapping"/>
            </w:r>
            <w:r>
              <w:rPr>
                <w:rFonts w:ascii="仿宋_GB2312"/>
                <w:sz w:val="18"/>
                <w:szCs w:val="18"/>
              </w:rPr>
              <w:t>1.2 (三/四级)</w:t>
            </w:r>
            <w:r>
              <w:rPr>
                <w:rFonts w:ascii="仿宋_GB2312"/>
                <w:sz w:val="18"/>
                <w:szCs w:val="18"/>
              </w:rPr>
              <w:br w:type="textWrapping"/>
            </w:r>
            <w:r>
              <w:rPr>
                <w:rFonts w:ascii="仿宋_GB2312"/>
                <w:sz w:val="18"/>
                <w:szCs w:val="18"/>
              </w:rPr>
              <w:t>3.0 (碎茶/片茶)</w:t>
            </w:r>
          </w:p>
        </w:tc>
        <w:tc>
          <w:tcPr>
            <w:tcW w:w="616" w:type="pct"/>
            <w:tcBorders>
              <w:top w:val="single" w:color="auto" w:sz="4" w:space="0"/>
              <w:left w:val="single" w:color="auto" w:sz="4" w:space="0"/>
              <w:bottom w:val="single" w:color="auto" w:sz="4" w:space="0"/>
              <w:right w:val="single" w:color="auto" w:sz="4" w:space="0"/>
            </w:tcBorders>
            <w:vAlign w:val="center"/>
          </w:tcPr>
          <w:p w14:paraId="2C3DC104">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34.0 (特种～二级)</w:t>
            </w:r>
            <w:r>
              <w:rPr>
                <w:rFonts w:ascii="仿宋_GB2312"/>
                <w:sz w:val="18"/>
                <w:szCs w:val="18"/>
              </w:rPr>
              <w:br w:type="textWrapping"/>
            </w:r>
            <w:r>
              <w:rPr>
                <w:rFonts w:ascii="仿宋_GB2312"/>
                <w:sz w:val="18"/>
                <w:szCs w:val="18"/>
              </w:rPr>
              <w:t>32.0 (三～五级)</w:t>
            </w:r>
          </w:p>
        </w:tc>
        <w:tc>
          <w:tcPr>
            <w:tcW w:w="660" w:type="pct"/>
            <w:tcBorders>
              <w:top w:val="single" w:color="auto" w:sz="4" w:space="0"/>
              <w:left w:val="single" w:color="auto" w:sz="4" w:space="0"/>
              <w:bottom w:val="single" w:color="auto" w:sz="4" w:space="0"/>
              <w:right w:val="single" w:color="auto" w:sz="4" w:space="0"/>
            </w:tcBorders>
            <w:vAlign w:val="center"/>
          </w:tcPr>
          <w:p w14:paraId="342BAE77">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w:t>
            </w:r>
          </w:p>
        </w:tc>
        <w:tc>
          <w:tcPr>
            <w:tcW w:w="639" w:type="pct"/>
            <w:tcBorders>
              <w:top w:val="single" w:color="auto" w:sz="4" w:space="0"/>
              <w:left w:val="single" w:color="auto" w:sz="4" w:space="0"/>
              <w:bottom w:val="single" w:color="auto" w:sz="4" w:space="0"/>
              <w:right w:val="single" w:color="auto" w:sz="4" w:space="0"/>
            </w:tcBorders>
            <w:vAlign w:val="center"/>
          </w:tcPr>
          <w:p w14:paraId="379C1E62">
            <w:pPr>
              <w:widowControl/>
              <w:kinsoku w:val="0"/>
              <w:overflowPunct w:val="0"/>
              <w:autoSpaceDE w:val="0"/>
              <w:autoSpaceDN w:val="0"/>
              <w:ind w:firstLine="0" w:firstLineChars="0"/>
              <w:jc w:val="left"/>
              <w:textAlignment w:val="center"/>
              <w:rPr>
                <w:rFonts w:ascii="仿宋_GB2312"/>
                <w:sz w:val="18"/>
                <w:szCs w:val="18"/>
              </w:rPr>
            </w:pPr>
            <w:r>
              <w:rPr>
                <w:rFonts w:ascii="仿宋_GB2312"/>
                <w:sz w:val="18"/>
                <w:szCs w:val="18"/>
              </w:rPr>
              <w:t>茉莉花干 ≤1.0 (特种～二级)</w:t>
            </w:r>
            <w:r>
              <w:rPr>
                <w:rFonts w:ascii="仿宋_GB2312"/>
                <w:sz w:val="18"/>
                <w:szCs w:val="18"/>
              </w:rPr>
              <w:br w:type="textWrapping"/>
            </w:r>
            <w:r>
              <w:rPr>
                <w:rFonts w:ascii="仿宋_GB2312"/>
                <w:sz w:val="18"/>
                <w:szCs w:val="18"/>
              </w:rPr>
              <w:t>≤1.5 (三～五级/碎茶/片茶)</w:t>
            </w:r>
          </w:p>
        </w:tc>
      </w:tr>
      <w:tr w14:paraId="337E4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345A48E9">
            <w:pPr>
              <w:widowControl/>
              <w:kinsoku w:val="0"/>
              <w:overflowPunct w:val="0"/>
              <w:autoSpaceDE w:val="0"/>
              <w:autoSpaceDN w:val="0"/>
              <w:ind w:firstLine="0" w:firstLineChars="0"/>
              <w:jc w:val="left"/>
              <w:textAlignment w:val="center"/>
              <w:rPr>
                <w:rStyle w:val="46"/>
                <w:rFonts w:ascii="仿宋_GB2312"/>
                <w:bCs/>
                <w:sz w:val="18"/>
                <w:szCs w:val="18"/>
              </w:rPr>
            </w:pPr>
            <w:r>
              <w:rPr>
                <w:rFonts w:hint="eastAsia" w:ascii="仿宋_GB2312"/>
                <w:sz w:val="18"/>
                <w:szCs w:val="18"/>
              </w:rPr>
              <w:t xml:space="preserve">T/GXAS XXXX </w:t>
            </w:r>
            <w:r>
              <w:rPr>
                <w:rFonts w:hint="eastAsia" w:ascii="仿宋_GB2312" w:hAnsi="宋体"/>
                <w:sz w:val="18"/>
                <w:szCs w:val="18"/>
              </w:rPr>
              <w:t>新茶饮用茶 绿茶</w:t>
            </w:r>
          </w:p>
        </w:tc>
        <w:tc>
          <w:tcPr>
            <w:tcW w:w="553" w:type="pct"/>
            <w:tcBorders>
              <w:top w:val="single" w:color="auto" w:sz="4" w:space="0"/>
              <w:left w:val="single" w:color="auto" w:sz="4" w:space="0"/>
              <w:bottom w:val="single" w:color="auto" w:sz="4" w:space="0"/>
              <w:right w:val="single" w:color="auto" w:sz="4" w:space="0"/>
            </w:tcBorders>
            <w:vAlign w:val="center"/>
          </w:tcPr>
          <w:p w14:paraId="21D433CF">
            <w:pPr>
              <w:widowControl/>
              <w:kinsoku w:val="0"/>
              <w:overflowPunct w:val="0"/>
              <w:autoSpaceDE w:val="0"/>
              <w:autoSpaceDN w:val="0"/>
              <w:ind w:firstLine="0" w:firstLineChars="0"/>
              <w:jc w:val="left"/>
              <w:textAlignment w:val="center"/>
              <w:rPr>
                <w:rFonts w:ascii="仿宋_GB2312"/>
                <w:kern w:val="0"/>
                <w:sz w:val="18"/>
                <w:szCs w:val="18"/>
              </w:rPr>
            </w:pPr>
            <w:r>
              <w:rPr>
                <w:rFonts w:hint="eastAsia" w:ascii="仿宋_GB2312" w:hAnsi="宋体"/>
                <w:sz w:val="18"/>
                <w:szCs w:val="18"/>
              </w:rPr>
              <w:t>新茶饮用茶 绿茶</w:t>
            </w:r>
          </w:p>
        </w:tc>
        <w:tc>
          <w:tcPr>
            <w:tcW w:w="704" w:type="pct"/>
            <w:tcBorders>
              <w:top w:val="single" w:color="auto" w:sz="4" w:space="0"/>
              <w:left w:val="single" w:color="auto" w:sz="4" w:space="0"/>
              <w:bottom w:val="single" w:color="auto" w:sz="4" w:space="0"/>
              <w:right w:val="single" w:color="auto" w:sz="4" w:space="0"/>
            </w:tcBorders>
            <w:vAlign w:val="center"/>
          </w:tcPr>
          <w:p w14:paraId="5030B898">
            <w:pPr>
              <w:widowControl/>
              <w:kinsoku w:val="0"/>
              <w:overflowPunct w:val="0"/>
              <w:autoSpaceDE w:val="0"/>
              <w:autoSpaceDN w:val="0"/>
              <w:ind w:firstLine="0" w:firstLineChars="0"/>
              <w:jc w:val="left"/>
              <w:textAlignment w:val="center"/>
              <w:rPr>
                <w:rFonts w:ascii="仿宋_GB2312"/>
                <w:kern w:val="0"/>
                <w:sz w:val="18"/>
                <w:szCs w:val="18"/>
              </w:rPr>
            </w:pPr>
            <w:r>
              <w:rPr>
                <w:rFonts w:hint="eastAsia" w:ascii="仿宋_GB2312"/>
                <w:kern w:val="0"/>
                <w:sz w:val="18"/>
                <w:szCs w:val="18"/>
              </w:rPr>
              <w:t>7.0</w:t>
            </w:r>
          </w:p>
        </w:tc>
        <w:tc>
          <w:tcPr>
            <w:tcW w:w="553" w:type="pct"/>
            <w:tcBorders>
              <w:top w:val="single" w:color="auto" w:sz="4" w:space="0"/>
              <w:left w:val="single" w:color="auto" w:sz="4" w:space="0"/>
              <w:bottom w:val="single" w:color="auto" w:sz="4" w:space="0"/>
              <w:right w:val="single" w:color="auto" w:sz="4" w:space="0"/>
            </w:tcBorders>
            <w:vAlign w:val="center"/>
          </w:tcPr>
          <w:p w14:paraId="6C6EF62F">
            <w:pPr>
              <w:widowControl/>
              <w:kinsoku w:val="0"/>
              <w:overflowPunct w:val="0"/>
              <w:autoSpaceDE w:val="0"/>
              <w:autoSpaceDN w:val="0"/>
              <w:ind w:firstLine="0" w:firstLineChars="0"/>
              <w:jc w:val="left"/>
              <w:textAlignment w:val="center"/>
              <w:rPr>
                <w:rFonts w:ascii="仿宋_GB2312"/>
                <w:kern w:val="0"/>
                <w:sz w:val="18"/>
                <w:szCs w:val="18"/>
              </w:rPr>
            </w:pPr>
            <w:r>
              <w:rPr>
                <w:rFonts w:hint="eastAsia" w:ascii="仿宋_GB2312"/>
                <w:kern w:val="0"/>
                <w:sz w:val="18"/>
                <w:szCs w:val="18"/>
              </w:rPr>
              <w:t>7.5</w:t>
            </w:r>
          </w:p>
        </w:tc>
        <w:tc>
          <w:tcPr>
            <w:tcW w:w="734" w:type="pct"/>
            <w:tcBorders>
              <w:top w:val="single" w:color="auto" w:sz="4" w:space="0"/>
              <w:left w:val="single" w:color="auto" w:sz="4" w:space="0"/>
              <w:bottom w:val="single" w:color="auto" w:sz="4" w:space="0"/>
              <w:right w:val="single" w:color="auto" w:sz="4" w:space="0"/>
            </w:tcBorders>
            <w:vAlign w:val="center"/>
          </w:tcPr>
          <w:p w14:paraId="7AD1DF6B">
            <w:pPr>
              <w:widowControl/>
              <w:kinsoku w:val="0"/>
              <w:overflowPunct w:val="0"/>
              <w:autoSpaceDE w:val="0"/>
              <w:autoSpaceDN w:val="0"/>
              <w:ind w:firstLine="0" w:firstLineChars="0"/>
              <w:jc w:val="left"/>
              <w:textAlignment w:val="center"/>
              <w:rPr>
                <w:rFonts w:ascii="仿宋_GB2312"/>
                <w:kern w:val="0"/>
                <w:sz w:val="18"/>
                <w:szCs w:val="18"/>
              </w:rPr>
            </w:pPr>
            <w:r>
              <w:rPr>
                <w:rFonts w:hint="eastAsia" w:ascii="仿宋_GB2312"/>
                <w:kern w:val="0"/>
                <w:sz w:val="18"/>
                <w:szCs w:val="18"/>
              </w:rPr>
              <w:t>6.0</w:t>
            </w:r>
          </w:p>
        </w:tc>
        <w:tc>
          <w:tcPr>
            <w:tcW w:w="616" w:type="pct"/>
            <w:tcBorders>
              <w:top w:val="single" w:color="auto" w:sz="4" w:space="0"/>
              <w:left w:val="single" w:color="auto" w:sz="4" w:space="0"/>
              <w:bottom w:val="single" w:color="auto" w:sz="4" w:space="0"/>
              <w:right w:val="single" w:color="auto" w:sz="4" w:space="0"/>
            </w:tcBorders>
            <w:vAlign w:val="center"/>
          </w:tcPr>
          <w:p w14:paraId="58880C7C">
            <w:pPr>
              <w:widowControl/>
              <w:kinsoku w:val="0"/>
              <w:overflowPunct w:val="0"/>
              <w:autoSpaceDE w:val="0"/>
              <w:autoSpaceDN w:val="0"/>
              <w:ind w:firstLine="0" w:firstLineChars="0"/>
              <w:jc w:val="left"/>
              <w:textAlignment w:val="center"/>
              <w:rPr>
                <w:rFonts w:ascii="仿宋_GB2312"/>
                <w:kern w:val="0"/>
                <w:sz w:val="18"/>
                <w:szCs w:val="18"/>
              </w:rPr>
            </w:pPr>
            <w:r>
              <w:rPr>
                <w:rFonts w:hint="eastAsia" w:ascii="仿宋_GB2312" w:hAnsi="宋体"/>
                <w:kern w:val="0"/>
                <w:sz w:val="18"/>
                <w:szCs w:val="18"/>
              </w:rPr>
              <w:t>特种、特级</w:t>
            </w:r>
            <w:r>
              <w:rPr>
                <w:rFonts w:hint="eastAsia" w:ascii="仿宋_GB2312"/>
                <w:kern w:val="0"/>
                <w:sz w:val="18"/>
                <w:szCs w:val="18"/>
              </w:rPr>
              <w:t>38.0</w:t>
            </w:r>
            <w:r>
              <w:rPr>
                <w:rFonts w:hint="eastAsia" w:ascii="仿宋_GB2312" w:hAnsi="宋体"/>
                <w:kern w:val="0"/>
                <w:sz w:val="18"/>
                <w:szCs w:val="18"/>
              </w:rPr>
              <w:t>，一级、二级</w:t>
            </w:r>
            <w:r>
              <w:rPr>
                <w:rFonts w:hint="eastAsia" w:ascii="仿宋_GB2312"/>
                <w:kern w:val="0"/>
                <w:sz w:val="18"/>
                <w:szCs w:val="18"/>
              </w:rPr>
              <w:t>36.0</w:t>
            </w:r>
            <w:r>
              <w:rPr>
                <w:rFonts w:hint="eastAsia" w:ascii="仿宋_GB2312" w:hAnsi="宋体"/>
                <w:kern w:val="0"/>
                <w:sz w:val="18"/>
                <w:szCs w:val="18"/>
              </w:rPr>
              <w:t>，三级、四级、五级</w:t>
            </w:r>
            <w:r>
              <w:rPr>
                <w:rFonts w:hint="eastAsia" w:ascii="仿宋_GB2312"/>
                <w:kern w:val="0"/>
                <w:sz w:val="18"/>
                <w:szCs w:val="18"/>
              </w:rPr>
              <w:t>34.0</w:t>
            </w:r>
          </w:p>
        </w:tc>
        <w:tc>
          <w:tcPr>
            <w:tcW w:w="660" w:type="pct"/>
            <w:tcBorders>
              <w:top w:val="single" w:color="auto" w:sz="4" w:space="0"/>
              <w:left w:val="single" w:color="auto" w:sz="4" w:space="0"/>
              <w:bottom w:val="single" w:color="auto" w:sz="4" w:space="0"/>
              <w:right w:val="single" w:color="auto" w:sz="4" w:space="0"/>
            </w:tcBorders>
            <w:vAlign w:val="center"/>
          </w:tcPr>
          <w:p w14:paraId="0DC84476">
            <w:pPr>
              <w:widowControl/>
              <w:kinsoku w:val="0"/>
              <w:overflowPunct w:val="0"/>
              <w:autoSpaceDE w:val="0"/>
              <w:autoSpaceDN w:val="0"/>
              <w:ind w:firstLine="0" w:firstLineChars="0"/>
              <w:jc w:val="left"/>
              <w:textAlignment w:val="center"/>
              <w:rPr>
                <w:rFonts w:ascii="仿宋_GB2312"/>
                <w:kern w:val="0"/>
                <w:sz w:val="18"/>
                <w:szCs w:val="18"/>
              </w:rPr>
            </w:pPr>
            <w:r>
              <w:rPr>
                <w:rFonts w:hint="eastAsia" w:ascii="仿宋_GB2312" w:hAnsi="宋体"/>
                <w:kern w:val="0"/>
                <w:sz w:val="18"/>
                <w:szCs w:val="18"/>
              </w:rPr>
              <w:t>特种、特级</w:t>
            </w:r>
            <w:r>
              <w:rPr>
                <w:rFonts w:hint="eastAsia" w:ascii="仿宋_GB2312"/>
                <w:kern w:val="0"/>
                <w:sz w:val="18"/>
                <w:szCs w:val="18"/>
              </w:rPr>
              <w:t>18.0</w:t>
            </w:r>
            <w:r>
              <w:rPr>
                <w:rFonts w:hint="eastAsia" w:ascii="仿宋_GB2312" w:hAnsi="宋体"/>
                <w:kern w:val="0"/>
                <w:sz w:val="18"/>
                <w:szCs w:val="18"/>
              </w:rPr>
              <w:t>，一级、二级</w:t>
            </w:r>
            <w:r>
              <w:rPr>
                <w:rFonts w:hint="eastAsia" w:ascii="仿宋_GB2312"/>
                <w:kern w:val="0"/>
                <w:sz w:val="18"/>
                <w:szCs w:val="18"/>
              </w:rPr>
              <w:t>16.0</w:t>
            </w:r>
            <w:r>
              <w:rPr>
                <w:rFonts w:hint="eastAsia" w:ascii="仿宋_GB2312" w:hAnsi="宋体"/>
                <w:kern w:val="0"/>
                <w:sz w:val="18"/>
                <w:szCs w:val="18"/>
              </w:rPr>
              <w:t>，三级、四级、五级</w:t>
            </w:r>
            <w:r>
              <w:rPr>
                <w:rFonts w:hint="eastAsia" w:ascii="仿宋_GB2312"/>
                <w:kern w:val="0"/>
                <w:sz w:val="18"/>
                <w:szCs w:val="18"/>
              </w:rPr>
              <w:t>12.0</w:t>
            </w:r>
          </w:p>
        </w:tc>
        <w:tc>
          <w:tcPr>
            <w:tcW w:w="639" w:type="pct"/>
            <w:tcBorders>
              <w:top w:val="single" w:color="auto" w:sz="4" w:space="0"/>
              <w:left w:val="single" w:color="auto" w:sz="4" w:space="0"/>
              <w:bottom w:val="single" w:color="auto" w:sz="4" w:space="0"/>
              <w:right w:val="single" w:color="auto" w:sz="4" w:space="0"/>
            </w:tcBorders>
            <w:vAlign w:val="center"/>
          </w:tcPr>
          <w:p w14:paraId="5BBAB051">
            <w:pPr>
              <w:widowControl/>
              <w:kinsoku w:val="0"/>
              <w:overflowPunct w:val="0"/>
              <w:autoSpaceDE w:val="0"/>
              <w:autoSpaceDN w:val="0"/>
              <w:ind w:firstLine="0" w:firstLineChars="0"/>
              <w:jc w:val="left"/>
              <w:textAlignment w:val="center"/>
              <w:rPr>
                <w:rStyle w:val="46"/>
                <w:rFonts w:ascii="仿宋_GB2312"/>
                <w:bCs/>
                <w:sz w:val="18"/>
                <w:szCs w:val="18"/>
              </w:rPr>
            </w:pPr>
            <w:r>
              <w:rPr>
                <w:rFonts w:hint="eastAsia" w:ascii="仿宋_GB2312"/>
                <w:sz w:val="18"/>
                <w:szCs w:val="18"/>
              </w:rPr>
              <w:t xml:space="preserve">T/GXAS XXXX </w:t>
            </w:r>
            <w:r>
              <w:rPr>
                <w:rFonts w:hint="eastAsia" w:ascii="仿宋_GB2312" w:hAnsi="宋体"/>
                <w:sz w:val="18"/>
                <w:szCs w:val="18"/>
              </w:rPr>
              <w:t>新茶饮用茶 绿茶</w:t>
            </w:r>
          </w:p>
        </w:tc>
      </w:tr>
      <w:tr w14:paraId="559B2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41" w:type="pct"/>
            <w:tcBorders>
              <w:top w:val="single" w:color="auto" w:sz="4" w:space="0"/>
              <w:left w:val="single" w:color="auto" w:sz="4" w:space="0"/>
              <w:bottom w:val="single" w:color="auto" w:sz="4" w:space="0"/>
              <w:right w:val="single" w:color="auto" w:sz="4" w:space="0"/>
            </w:tcBorders>
            <w:vAlign w:val="center"/>
          </w:tcPr>
          <w:p w14:paraId="6267575A">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sz w:val="18"/>
                <w:szCs w:val="18"/>
              </w:rPr>
              <w:t xml:space="preserve">T/GXAS XXXX </w:t>
            </w:r>
            <w:r>
              <w:rPr>
                <w:rFonts w:hint="eastAsia" w:ascii="仿宋_GB2312" w:hAnsi="宋体"/>
                <w:sz w:val="18"/>
                <w:szCs w:val="18"/>
              </w:rPr>
              <w:t>新茶饮用茶 茉莉花绿茶</w:t>
            </w:r>
          </w:p>
        </w:tc>
        <w:tc>
          <w:tcPr>
            <w:tcW w:w="553" w:type="pct"/>
            <w:tcBorders>
              <w:top w:val="single" w:color="auto" w:sz="4" w:space="0"/>
              <w:left w:val="single" w:color="auto" w:sz="4" w:space="0"/>
              <w:bottom w:val="single" w:color="auto" w:sz="4" w:space="0"/>
              <w:right w:val="single" w:color="auto" w:sz="4" w:space="0"/>
            </w:tcBorders>
            <w:vAlign w:val="center"/>
          </w:tcPr>
          <w:p w14:paraId="1D05DA7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sz w:val="18"/>
                <w:szCs w:val="18"/>
              </w:rPr>
              <w:t>新茶饮用茶 茉莉花绿茶</w:t>
            </w:r>
          </w:p>
        </w:tc>
        <w:tc>
          <w:tcPr>
            <w:tcW w:w="704" w:type="pct"/>
            <w:tcBorders>
              <w:top w:val="single" w:color="auto" w:sz="4" w:space="0"/>
              <w:left w:val="single" w:color="auto" w:sz="4" w:space="0"/>
              <w:bottom w:val="single" w:color="auto" w:sz="4" w:space="0"/>
              <w:right w:val="single" w:color="auto" w:sz="4" w:space="0"/>
            </w:tcBorders>
            <w:vAlign w:val="center"/>
          </w:tcPr>
          <w:p w14:paraId="23489AA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sz w:val="18"/>
                <w:szCs w:val="18"/>
              </w:rPr>
              <w:t>8.5</w:t>
            </w:r>
          </w:p>
        </w:tc>
        <w:tc>
          <w:tcPr>
            <w:tcW w:w="553" w:type="pct"/>
            <w:tcBorders>
              <w:top w:val="single" w:color="auto" w:sz="4" w:space="0"/>
              <w:left w:val="single" w:color="auto" w:sz="4" w:space="0"/>
              <w:bottom w:val="single" w:color="auto" w:sz="4" w:space="0"/>
              <w:right w:val="single" w:color="auto" w:sz="4" w:space="0"/>
            </w:tcBorders>
            <w:vAlign w:val="center"/>
          </w:tcPr>
          <w:p w14:paraId="421291C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sz w:val="18"/>
                <w:szCs w:val="18"/>
              </w:rPr>
              <w:t>6.5</w:t>
            </w:r>
          </w:p>
        </w:tc>
        <w:tc>
          <w:tcPr>
            <w:tcW w:w="734" w:type="pct"/>
            <w:tcBorders>
              <w:top w:val="single" w:color="auto" w:sz="4" w:space="0"/>
              <w:left w:val="single" w:color="auto" w:sz="4" w:space="0"/>
              <w:bottom w:val="single" w:color="auto" w:sz="4" w:space="0"/>
              <w:right w:val="single" w:color="auto" w:sz="4" w:space="0"/>
            </w:tcBorders>
            <w:vAlign w:val="center"/>
          </w:tcPr>
          <w:p w14:paraId="787DC8C7">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sz w:val="18"/>
                <w:szCs w:val="18"/>
              </w:rPr>
              <w:t>散茶：特种/特级1.0；以及、二级1.2；三级、四级、五级1.5</w:t>
            </w:r>
          </w:p>
          <w:p w14:paraId="6C5F5377">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sz w:val="18"/>
                <w:szCs w:val="18"/>
              </w:rPr>
              <w:t>碎茶：特种~五级3.0</w:t>
            </w:r>
          </w:p>
        </w:tc>
        <w:tc>
          <w:tcPr>
            <w:tcW w:w="616" w:type="pct"/>
            <w:tcBorders>
              <w:top w:val="single" w:color="auto" w:sz="4" w:space="0"/>
              <w:left w:val="single" w:color="auto" w:sz="4" w:space="0"/>
              <w:bottom w:val="single" w:color="auto" w:sz="4" w:space="0"/>
              <w:right w:val="single" w:color="auto" w:sz="4" w:space="0"/>
            </w:tcBorders>
            <w:vAlign w:val="center"/>
          </w:tcPr>
          <w:p w14:paraId="106DF2B8">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kern w:val="0"/>
                <w:sz w:val="18"/>
                <w:szCs w:val="18"/>
              </w:rPr>
              <w:t>特种、特级</w:t>
            </w:r>
            <w:r>
              <w:rPr>
                <w:rFonts w:hint="eastAsia" w:ascii="仿宋_GB2312"/>
                <w:kern w:val="0"/>
                <w:sz w:val="18"/>
                <w:szCs w:val="18"/>
              </w:rPr>
              <w:t>38.0</w:t>
            </w:r>
            <w:r>
              <w:rPr>
                <w:rFonts w:hint="eastAsia" w:ascii="仿宋_GB2312" w:hAnsi="宋体"/>
                <w:kern w:val="0"/>
                <w:sz w:val="18"/>
                <w:szCs w:val="18"/>
              </w:rPr>
              <w:t>，一级、二级</w:t>
            </w:r>
            <w:r>
              <w:rPr>
                <w:rFonts w:hint="eastAsia" w:ascii="仿宋_GB2312"/>
                <w:kern w:val="0"/>
                <w:sz w:val="18"/>
                <w:szCs w:val="18"/>
              </w:rPr>
              <w:t>36.0</w:t>
            </w:r>
            <w:r>
              <w:rPr>
                <w:rFonts w:hint="eastAsia" w:ascii="仿宋_GB2312" w:hAnsi="宋体"/>
                <w:kern w:val="0"/>
                <w:sz w:val="18"/>
                <w:szCs w:val="18"/>
              </w:rPr>
              <w:t>，三级、四级、五级</w:t>
            </w:r>
            <w:r>
              <w:rPr>
                <w:rFonts w:hint="eastAsia" w:ascii="仿宋_GB2312"/>
                <w:kern w:val="0"/>
                <w:sz w:val="18"/>
                <w:szCs w:val="18"/>
              </w:rPr>
              <w:t>34.0</w:t>
            </w:r>
          </w:p>
        </w:tc>
        <w:tc>
          <w:tcPr>
            <w:tcW w:w="660" w:type="pct"/>
            <w:tcBorders>
              <w:top w:val="single" w:color="auto" w:sz="4" w:space="0"/>
              <w:left w:val="single" w:color="auto" w:sz="4" w:space="0"/>
              <w:bottom w:val="single" w:color="auto" w:sz="4" w:space="0"/>
              <w:right w:val="single" w:color="auto" w:sz="4" w:space="0"/>
            </w:tcBorders>
            <w:vAlign w:val="center"/>
          </w:tcPr>
          <w:p w14:paraId="4C95F24B">
            <w:pPr>
              <w:widowControl/>
              <w:kinsoku w:val="0"/>
              <w:overflowPunct w:val="0"/>
              <w:autoSpaceDE w:val="0"/>
              <w:autoSpaceDN w:val="0"/>
              <w:ind w:firstLine="0" w:firstLineChars="0"/>
              <w:jc w:val="left"/>
              <w:textAlignment w:val="center"/>
              <w:rPr>
                <w:rFonts w:ascii="仿宋_GB2312"/>
                <w:sz w:val="18"/>
                <w:szCs w:val="18"/>
              </w:rPr>
            </w:pPr>
            <w:r>
              <w:rPr>
                <w:rFonts w:hint="eastAsia" w:ascii="仿宋_GB2312" w:hAnsi="宋体"/>
                <w:kern w:val="0"/>
                <w:sz w:val="18"/>
                <w:szCs w:val="18"/>
              </w:rPr>
              <w:t>特种、特级</w:t>
            </w:r>
            <w:r>
              <w:rPr>
                <w:rFonts w:hint="eastAsia" w:ascii="仿宋_GB2312"/>
                <w:kern w:val="0"/>
                <w:sz w:val="18"/>
                <w:szCs w:val="18"/>
              </w:rPr>
              <w:t>18.0</w:t>
            </w:r>
            <w:r>
              <w:rPr>
                <w:rFonts w:hint="eastAsia" w:ascii="仿宋_GB2312" w:hAnsi="宋体"/>
                <w:kern w:val="0"/>
                <w:sz w:val="18"/>
                <w:szCs w:val="18"/>
              </w:rPr>
              <w:t>，一级、二级</w:t>
            </w:r>
            <w:r>
              <w:rPr>
                <w:rFonts w:hint="eastAsia" w:ascii="仿宋_GB2312"/>
                <w:kern w:val="0"/>
                <w:sz w:val="18"/>
                <w:szCs w:val="18"/>
              </w:rPr>
              <w:t>16.0</w:t>
            </w:r>
            <w:r>
              <w:rPr>
                <w:rFonts w:hint="eastAsia" w:ascii="仿宋_GB2312" w:hAnsi="宋体"/>
                <w:kern w:val="0"/>
                <w:sz w:val="18"/>
                <w:szCs w:val="18"/>
              </w:rPr>
              <w:t>，三级、四级、五级</w:t>
            </w:r>
            <w:r>
              <w:rPr>
                <w:rFonts w:hint="eastAsia" w:ascii="仿宋_GB2312"/>
                <w:kern w:val="0"/>
                <w:sz w:val="18"/>
                <w:szCs w:val="18"/>
              </w:rPr>
              <w:t>14.0</w:t>
            </w:r>
          </w:p>
        </w:tc>
        <w:tc>
          <w:tcPr>
            <w:tcW w:w="639" w:type="pct"/>
            <w:tcBorders>
              <w:top w:val="single" w:color="auto" w:sz="4" w:space="0"/>
              <w:left w:val="single" w:color="auto" w:sz="4" w:space="0"/>
              <w:bottom w:val="single" w:color="auto" w:sz="4" w:space="0"/>
              <w:right w:val="single" w:color="auto" w:sz="4" w:space="0"/>
            </w:tcBorders>
            <w:vAlign w:val="center"/>
          </w:tcPr>
          <w:p w14:paraId="36E4E8AC">
            <w:pPr>
              <w:widowControl/>
              <w:kinsoku w:val="0"/>
              <w:overflowPunct w:val="0"/>
              <w:autoSpaceDE w:val="0"/>
              <w:autoSpaceDN w:val="0"/>
              <w:ind w:firstLine="0" w:firstLineChars="0"/>
              <w:jc w:val="left"/>
              <w:textAlignment w:val="center"/>
              <w:rPr>
                <w:rFonts w:ascii="仿宋_GB2312"/>
                <w:sz w:val="18"/>
                <w:szCs w:val="18"/>
              </w:rPr>
            </w:pPr>
          </w:p>
        </w:tc>
      </w:tr>
    </w:tbl>
    <w:p w14:paraId="1B7A6FD3">
      <w:pPr>
        <w:autoSpaceDE w:val="0"/>
        <w:autoSpaceDN w:val="0"/>
        <w:adjustRightInd w:val="0"/>
        <w:ind w:firstLine="640"/>
        <w:jc w:val="left"/>
        <w:rPr>
          <w:rFonts w:ascii="仿宋_GB2312" w:hAnsi="仿宋_GB2312" w:cs="仿宋_GB2312"/>
          <w:szCs w:val="32"/>
        </w:rPr>
        <w:sectPr>
          <w:pgSz w:w="16838" w:h="11906" w:orient="landscape"/>
          <w:pgMar w:top="1474" w:right="1474" w:bottom="1474" w:left="1474" w:header="851" w:footer="992" w:gutter="0"/>
          <w:cols w:space="425" w:num="1"/>
          <w:docGrid w:type="linesAndChars" w:linePitch="312" w:charSpace="0"/>
        </w:sectPr>
      </w:pPr>
    </w:p>
    <w:p w14:paraId="3D16860F">
      <w:pPr>
        <w:autoSpaceDE w:val="0"/>
        <w:autoSpaceDN w:val="0"/>
        <w:adjustRightInd w:val="0"/>
        <w:ind w:firstLine="640"/>
        <w:jc w:val="left"/>
        <w:rPr>
          <w:rFonts w:ascii="仿宋_GB2312" w:hAnsi="仿宋_GB2312" w:cs="仿宋_GB2312"/>
          <w:szCs w:val="32"/>
        </w:rPr>
      </w:pPr>
      <w:r>
        <w:rPr>
          <w:rFonts w:hint="eastAsia" w:ascii="仿宋_GB2312" w:hAnsi="仿宋_GB2312" w:cs="仿宋_GB2312"/>
          <w:szCs w:val="32"/>
        </w:rPr>
        <w:t>结合表1、表2的分析如下：</w:t>
      </w:r>
    </w:p>
    <w:p w14:paraId="73B9291B">
      <w:pPr>
        <w:autoSpaceDE w:val="0"/>
        <w:autoSpaceDN w:val="0"/>
        <w:adjustRightInd w:val="0"/>
        <w:ind w:firstLine="643"/>
        <w:jc w:val="left"/>
        <w:rPr>
          <w:rFonts w:ascii="仿宋_GB2312" w:hAnsi="仿宋_GB2312" w:cs="仿宋_GB2312"/>
          <w:b/>
          <w:szCs w:val="32"/>
        </w:rPr>
      </w:pPr>
      <w:r>
        <w:rPr>
          <w:rFonts w:hint="eastAsia" w:ascii="仿宋_GB2312" w:hAnsi="仿宋_GB2312" w:cs="仿宋_GB2312"/>
          <w:b/>
          <w:szCs w:val="32"/>
        </w:rPr>
        <w:t>（1）水分</w:t>
      </w:r>
    </w:p>
    <w:p w14:paraId="2BD9C5E3">
      <w:pPr>
        <w:autoSpaceDE w:val="0"/>
        <w:autoSpaceDN w:val="0"/>
        <w:adjustRightInd w:val="0"/>
        <w:ind w:firstLine="640"/>
        <w:rPr>
          <w:rFonts w:ascii="仿宋_GB2312" w:hAnsi="仿宋_GB2312" w:cs="仿宋_GB2312"/>
          <w:szCs w:val="32"/>
        </w:rPr>
      </w:pPr>
      <w:r>
        <w:rPr>
          <w:rFonts w:ascii="仿宋_GB2312" w:hAnsi="Segoe UI" w:cs="Segoe UI"/>
          <w:color w:val="0F1115"/>
          <w:shd w:val="clear" w:color="auto" w:fill="FFFFFF"/>
        </w:rPr>
        <w:t>水分是茶叶品质保持的关键指标，直接影响产品的耐储存性和风味稳定性。</w:t>
      </w:r>
      <w:r>
        <w:rPr>
          <w:rFonts w:hint="eastAsia" w:ascii="仿宋_GB2312" w:hAnsi="仿宋_GB2312" w:cs="仿宋_GB2312"/>
          <w:szCs w:val="32"/>
        </w:rPr>
        <w:t>本标准设定为≤8.5％，与国家标准《茉莉花茶》（GB/T 22292-2017）中所有等级（特种至五级）的水分要求一致。这一指标并非是对绿茶标准（GB/T 14456系列中炒青/烘青/蒸青绿茶≤7.0％）的放宽，而是充分尊重茉莉花茶作为再加工茶类的工艺特殊性——茉莉花茶在窨制过程中需经多次复火干燥工序，每一次窨制后均需通过复火去除鲜花带入的水分以固定花香，因此成品茶的水分含量天然高于未经窨制的绿茶坯。若强行套用绿茶≤7.0％的水分要求，不仅不符合茉莉花茶的实际工艺水平，还可能因过度干燥导致花香散失。16款送检样品的水分检测值均在8.5％以内，说明这一指标在产业实践中具有良好的可达性。本标准维持≤8.5％的水分限值，既与传统国标保持协调一致，又充分尊重了茉莉花茶窨制复火工艺的客观实际，同时确保了产品在运输和贮存过程中的品质稳定性和耐储性。</w:t>
      </w:r>
    </w:p>
    <w:p w14:paraId="6F3C286D">
      <w:pPr>
        <w:autoSpaceDE w:val="0"/>
        <w:autoSpaceDN w:val="0"/>
        <w:adjustRightInd w:val="0"/>
        <w:ind w:firstLine="643"/>
        <w:jc w:val="left"/>
        <w:rPr>
          <w:rStyle w:val="9"/>
          <w:rFonts w:ascii="Segoe UI" w:hAnsi="Segoe UI" w:cs="Segoe UI"/>
          <w:color w:val="0F1115"/>
          <w:shd w:val="clear" w:color="auto" w:fill="FFFFFF"/>
        </w:rPr>
      </w:pPr>
      <w:r>
        <w:rPr>
          <w:rFonts w:hint="eastAsia" w:ascii="仿宋_GB2312" w:hAnsi="仿宋_GB2312" w:cs="仿宋_GB2312"/>
          <w:b/>
          <w:szCs w:val="32"/>
        </w:rPr>
        <w:t>（2）</w:t>
      </w:r>
      <w:r>
        <w:rPr>
          <w:rStyle w:val="9"/>
          <w:rFonts w:ascii="Segoe UI" w:hAnsi="Segoe UI" w:cs="Segoe UI"/>
          <w:color w:val="0F1115"/>
          <w:shd w:val="clear" w:color="auto" w:fill="FFFFFF"/>
        </w:rPr>
        <w:t>总灰分</w:t>
      </w:r>
    </w:p>
    <w:p w14:paraId="2E9CB4FC">
      <w:pPr>
        <w:autoSpaceDE w:val="0"/>
        <w:autoSpaceDN w:val="0"/>
        <w:adjustRightInd w:val="0"/>
        <w:ind w:firstLine="640"/>
        <w:rPr>
          <w:rStyle w:val="9"/>
          <w:rFonts w:ascii="Segoe UI" w:hAnsi="Segoe UI" w:cs="Segoe UI"/>
          <w:b w:val="0"/>
          <w:color w:val="0F1115"/>
          <w:shd w:val="clear" w:color="auto" w:fill="FFFFFF"/>
        </w:rPr>
      </w:pPr>
      <w:r>
        <w:rPr>
          <w:rStyle w:val="9"/>
          <w:rFonts w:hint="eastAsia" w:ascii="Segoe UI" w:hAnsi="Segoe UI" w:cs="Segoe UI"/>
          <w:b w:val="0"/>
          <w:color w:val="0F1115"/>
          <w:shd w:val="clear" w:color="auto" w:fill="FFFFFF"/>
        </w:rPr>
        <w:t>总灰分反映茶叶原料的老嫩度和洁净程度，是衡量茶叶原料品质的基础指标。本标准设定为≤6.5％，与GB/T 22292-2017中特种、特级、一级、二级茉莉花茶的总灰分要求保持一致，严于GB/T 14456系列绿茶标准中≤7.5％的要求。茉莉花茶的总灰分要求低于绿茶标准，这体现了茉莉花茶的品类特征——在窨制过程中，鲜花带入的物质以及多次复火工序对灰分含量产生了一定影响。本标准将总灰分统一设定为≤6.5％，既体现了茉莉花茶在窨制过程中因鲜花物质交互作用导致灰分含量低于绿茶坯的品类特性，又与传统茉莉花茶国标中高等级产品的要求保持了一致，能够确保新茶饮用茉莉花绿茶的原料嫩度和加工洁净度达到较高水平，为茶汤的纯净口感奠定基础。</w:t>
      </w:r>
    </w:p>
    <w:p w14:paraId="1D6D69F8">
      <w:pPr>
        <w:autoSpaceDE w:val="0"/>
        <w:autoSpaceDN w:val="0"/>
        <w:adjustRightInd w:val="0"/>
        <w:ind w:firstLine="643"/>
        <w:jc w:val="left"/>
        <w:rPr>
          <w:rStyle w:val="9"/>
          <w:rFonts w:ascii="Segoe UI" w:hAnsi="Segoe UI" w:cs="Segoe UI"/>
          <w:color w:val="0F1115"/>
          <w:shd w:val="clear" w:color="auto" w:fill="FFFFFF"/>
        </w:rPr>
      </w:pPr>
      <w:r>
        <w:rPr>
          <w:rStyle w:val="9"/>
          <w:rFonts w:hint="eastAsia" w:ascii="Segoe UI" w:hAnsi="Segoe UI" w:cs="Segoe UI"/>
          <w:color w:val="0F1115"/>
          <w:shd w:val="clear" w:color="auto" w:fill="FFFFFF"/>
        </w:rPr>
        <w:t>（3）粉末</w:t>
      </w:r>
    </w:p>
    <w:p w14:paraId="0C90B3E1">
      <w:pPr>
        <w:autoSpaceDE w:val="0"/>
        <w:autoSpaceDN w:val="0"/>
        <w:adjustRightInd w:val="0"/>
        <w:ind w:firstLine="640"/>
        <w:rPr>
          <w:rStyle w:val="9"/>
          <w:rFonts w:ascii="仿宋_GB2312" w:hAnsi="仿宋_GB2312" w:cs="仿宋_GB2312"/>
          <w:b w:val="0"/>
          <w:color w:val="0F1115"/>
          <w:shd w:val="clear" w:color="auto" w:fill="FFFFFF"/>
        </w:rPr>
      </w:pPr>
      <w:r>
        <w:rPr>
          <w:rStyle w:val="9"/>
          <w:rFonts w:hint="eastAsia" w:ascii="仿宋_GB2312" w:hAnsi="仿宋_GB2312" w:cs="仿宋_GB2312"/>
          <w:b w:val="0"/>
          <w:color w:val="0F1115"/>
          <w:shd w:val="clear" w:color="auto" w:fill="FFFFFF"/>
        </w:rPr>
        <w:t>粉末指标的设定，是在充分继承GB/T 14456绿茶标准（≤1.0%）和GB/T 22292茉莉花茶标准（≤1.2%）的基础上，结合新茶饮产业实际需求进行的精细化分级调整：特种、特级≤1.0%（严于国标），一级、二级≤1.2%（与国标持平），三级至五级≤1.5%（适度放宽）。这一分级方案的核心产业逻辑有三：其一，新茶饮产品多为透明杯装，粉末过多会影响茶汤清澈度和视觉呈现，直接降低消费者的品质感知；其二，新茶饮门店普遍使用自动化茶汤萃取设备，粉末积累易堵塞过滤网和出水口，影响出杯效率与产品一致性；其三，粉末在茶汤中易产生浑浊感和涩感，会干扰茉莉花茶特有的鲜灵花香与茶味的纯净表达。基于此，编制组企业（包括茶姬等头部新茶饮品牌）通过对不同粉末含量茶叶在调饮场景下的系统测试与反复验证，最终确定了各等级粉末的合理阈值，既保证了高等级产品的品质纯净度，也为不同定位的产品提供了合理的品质空间，体现了从“茶叶本身品质”到“终端应用适配性”的标准思路转变。</w:t>
      </w:r>
    </w:p>
    <w:p w14:paraId="21D0CF2F">
      <w:pPr>
        <w:autoSpaceDE w:val="0"/>
        <w:autoSpaceDN w:val="0"/>
        <w:adjustRightInd w:val="0"/>
        <w:ind w:firstLine="643"/>
        <w:jc w:val="left"/>
        <w:rPr>
          <w:rStyle w:val="9"/>
          <w:rFonts w:ascii="Segoe UI" w:hAnsi="Segoe UI" w:cs="Segoe UI"/>
          <w:color w:val="0F1115"/>
          <w:shd w:val="clear" w:color="auto" w:fill="FFFFFF"/>
        </w:rPr>
      </w:pPr>
      <w:r>
        <w:rPr>
          <w:rFonts w:hint="eastAsia" w:ascii="仿宋_GB2312" w:hAnsi="仿宋_GB2312" w:cs="仿宋_GB2312"/>
          <w:b/>
          <w:szCs w:val="32"/>
        </w:rPr>
        <w:t>（4）</w:t>
      </w:r>
      <w:r>
        <w:rPr>
          <w:rStyle w:val="9"/>
          <w:rFonts w:ascii="Segoe UI" w:hAnsi="Segoe UI" w:cs="Segoe UI"/>
          <w:color w:val="0F1115"/>
          <w:shd w:val="clear" w:color="auto" w:fill="FFFFFF"/>
        </w:rPr>
        <w:t>水浸出物</w:t>
      </w:r>
    </w:p>
    <w:p w14:paraId="6D2902BB">
      <w:pPr>
        <w:autoSpaceDE w:val="0"/>
        <w:autoSpaceDN w:val="0"/>
        <w:adjustRightInd w:val="0"/>
        <w:ind w:firstLine="640"/>
        <w:rPr>
          <w:rStyle w:val="9"/>
          <w:rFonts w:ascii="仿宋_GB2312" w:hAnsi="仿宋_GB2312" w:cs="仿宋_GB2312"/>
          <w:b w:val="0"/>
          <w:color w:val="0F1115"/>
          <w:shd w:val="clear" w:color="auto" w:fill="FFFFFF"/>
        </w:rPr>
      </w:pPr>
      <w:r>
        <w:rPr>
          <w:rFonts w:hint="eastAsia" w:ascii="仿宋_GB2312" w:hAnsi="仿宋_GB2312" w:cs="仿宋_GB2312"/>
          <w:color w:val="0F1115"/>
          <w:shd w:val="clear" w:color="auto" w:fill="FFFFFF"/>
        </w:rPr>
        <w:t>较高的水浸出物指标意味着单位重量的茶叶可冲泡出更多可溶性固形物，直接转化为茶汤的浓度和饱满度，这对新茶饮门店尤其重要。</w:t>
      </w:r>
      <w:r>
        <w:rPr>
          <w:rStyle w:val="9"/>
          <w:rFonts w:hint="eastAsia" w:ascii="仿宋_GB2312" w:hAnsi="仿宋_GB2312" w:cs="仿宋_GB2312"/>
          <w:b w:val="0"/>
          <w:color w:val="0F1115"/>
          <w:shd w:val="clear" w:color="auto" w:fill="FFFFFF"/>
        </w:rPr>
        <w:t>本标准设定特种/特级≥38.0％、一级/二级≥36.0％、三级～五级≥34.0％，这是理化指标中与传统标准差异最大、最能体现新茶饮专用原料特征的核心指标。从检测数据来看，3款特种样品水浸出物为39.73％～44.10％（均值42.06％），3款特级样品为42.47％～47.99％（均值46.14％），2款一级样品为42.53％～45.78％（均值44.16％），2款二级样品为43.84％～49.32％（均值46.58％），2款三级样品为48.67％～51.04％（均值49.86％），2款四级样品为45.15％～54.49％（均值49.82％），2款五级样品为50.75％～51.57％（均值51.16％），所有等级样品的水浸出物实测值均在39.73％以上，远高于GB/T 22292-2017中特种～二级≥34.0％、三～五级≥32.0％的要求。本标准将特种/特级水浸出物提升至≥38.0％，与《新茶饮用茶 绿茶》标准中特种/特级≥38.0％保持协调，体现了“好坯出好花茶”的产业逻辑——高等级茉莉花绿茶需要高浓度的绿茶茶坯作为物质基础；一级/二级≥36.0％与绿茶标准中一级/二级≥36.0％持平；三级～五级≥34.0％则显著高于传统国标中三～五级≥32.0％的要求。较高水浸出物指标的核心意义在于：新茶饮门店在制作水果茶、奶茶等产品时，茶汤需与大量水果、乳制品等辅料搭配，若茶基底浓度不足，茶味极易被掩盖，导致产品“水味重”、风味辨识度低。本标准整体提升水浸出物指标，确保茉莉花绿茶基底具有足够的浓度和饱满度，在调配后仍能保持“茶味突出、花香明显”的产品特征，直接回应了新茶饮行业对“高浓度、高性价比、高稳定性”专用原料茶的需求。</w:t>
      </w:r>
    </w:p>
    <w:p w14:paraId="67255F43">
      <w:pPr>
        <w:autoSpaceDE w:val="0"/>
        <w:autoSpaceDN w:val="0"/>
        <w:adjustRightInd w:val="0"/>
        <w:ind w:firstLine="643"/>
        <w:jc w:val="left"/>
        <w:rPr>
          <w:rStyle w:val="9"/>
          <w:rFonts w:ascii="仿宋_GB2312" w:hAnsi="仿宋_GB2312" w:cs="仿宋_GB2312"/>
          <w:color w:val="0F1115"/>
          <w:shd w:val="clear" w:color="auto" w:fill="FFFFFF"/>
        </w:rPr>
      </w:pPr>
      <w:r>
        <w:rPr>
          <w:rStyle w:val="9"/>
          <w:rFonts w:hint="eastAsia" w:ascii="仿宋_GB2312" w:hAnsi="仿宋_GB2312" w:cs="仿宋_GB2312"/>
          <w:color w:val="0F1115"/>
          <w:shd w:val="clear" w:color="auto" w:fill="FFFFFF"/>
        </w:rPr>
        <w:t>（5）茶多酚</w:t>
      </w:r>
    </w:p>
    <w:p w14:paraId="2774DF4E">
      <w:pPr>
        <w:autoSpaceDE w:val="0"/>
        <w:autoSpaceDN w:val="0"/>
        <w:adjustRightInd w:val="0"/>
        <w:ind w:firstLine="640"/>
        <w:rPr>
          <w:rStyle w:val="9"/>
          <w:rFonts w:ascii="仿宋_GB2312" w:hAnsi="仿宋_GB2312" w:cs="仿宋_GB2312"/>
          <w:b w:val="0"/>
          <w:color w:val="0F1115"/>
          <w:shd w:val="clear" w:color="auto" w:fill="FFFFFF"/>
        </w:rPr>
      </w:pPr>
      <w:r>
        <w:rPr>
          <w:rStyle w:val="9"/>
          <w:rFonts w:hint="eastAsia" w:ascii="仿宋_GB2312" w:hAnsi="仿宋_GB2312" w:cs="仿宋_GB2312"/>
          <w:b w:val="0"/>
          <w:color w:val="0F1115"/>
          <w:shd w:val="clear" w:color="auto" w:fill="FFFFFF"/>
        </w:rPr>
        <w:t>本标准将茶多酚纳入等级考核指标的主要考量在于：新茶饮行业对茶汤浓度、滋味饱满度及与奶、水果等辅料的融合效果有明确要求，茶多酚作为决定茶汤浓度、收敛性和涩感的关键物质，其含量直接关系到茉莉花绿茶基底在调配后的风味表现。散茶和碎茶均设定特种/特级≥18.0％、一级/二级≥16.0％、三级～五级≥14.0％。从检测数据来看，3款特种样品茶多酚为24.7％～27.6％（均值26.33％），3款特级样品为21.2％～31.3％（均值25.43％），2款一级样品为19.7％～21.9％（均值20.80％），2款二级样品为18.3％～25.5％（均值21.90％），2款三级样品为16.2％～20.6％（均值18.40％），2款四级样品为15.0％～19.1％（均值17.05％），2款五级样品为15.3％～16.2％（均值15.75％），所有等级样品的茶多酚实测值均在15.0％以上，远高于本标准设定的下限值，具备充分的数据支撑。与相关标准对比来看，传统茉莉花茶国家标准（GB/T 22292-2017）并未设置茶多酚指标；绿茶标准中茶多酚多为参考指标——GB/T 14456.1基本要求中茶多酚≥11.0％，GB/T 14456.3中小叶种绿茶≥13.0％，GB/T 14456.2大叶种绿茶≥16.0％；T/GZTPA 0021《贵州新茶饮原料茶 精制绿茶》中茶多酚按高等级≥14.0％、低等级≥12.0％两档划分。值得特别说明的是，检测数据显示不同等级样品的茶多酚含量存在一定程度的交叉（如二级样品均值21.90％高于一级样品均值20.80％，三级样品均值18.40％高于四级样品均值17.05％但低于二级），这反映了茉莉花茶“以香定级”的传统产业逻辑——高等级茉莉花茶的核心价值在于精湛的窨制工艺所带来的花香品质（鲜灵度、纯度、馥郁度），而非单纯的内含物浓度；同时，茉莉花茶在窨制过程中，茶多酚含量因多次复火和鲜花物质交互作用而发生变化，窨制次数越多，茶多酚的氧化与转化可能越显著，因此不同窨制工艺对茶多酚含量的影响程度不一，使得等级与茶多酚含量之间难以建立严格的线性对应关系。此外，与绿茶茶坯相比，茉莉花绿茶因窨制过程中鲜花带来的水分、多次复火烘焙等工艺因素，茶多酚含量较原茶坯有所降低，这是正常的工艺损耗。因此，本标准将茶多酚指标的等级梯度设定为特种/特级≥18.0％、一级/二级≥16.0％、三级～五级≥14.0％，充分考虑了茉莉花茶“以香定级”的产业特性，茶多酚主要作为验证窨制工艺对茶坯内含物影响程度的参考指标，而非等级判定的硬性依据，体现了标准对传统工艺价值与新茶饮品质需求的双重兼顾。</w:t>
      </w:r>
    </w:p>
    <w:p w14:paraId="6F2A9CC3">
      <w:pPr>
        <w:autoSpaceDE w:val="0"/>
        <w:autoSpaceDN w:val="0"/>
        <w:adjustRightInd w:val="0"/>
        <w:ind w:firstLine="643"/>
        <w:jc w:val="left"/>
        <w:rPr>
          <w:rStyle w:val="9"/>
          <w:rFonts w:ascii="仿宋_GB2312" w:hAnsi="仿宋_GB2312" w:cs="仿宋_GB2312"/>
          <w:color w:val="0F1115"/>
          <w:shd w:val="clear" w:color="auto" w:fill="FFFFFF"/>
        </w:rPr>
      </w:pPr>
      <w:r>
        <w:rPr>
          <w:rStyle w:val="9"/>
          <w:rFonts w:hint="eastAsia" w:ascii="仿宋_GB2312" w:hAnsi="仿宋_GB2312" w:cs="仿宋_GB2312"/>
          <w:color w:val="0F1115"/>
          <w:shd w:val="clear" w:color="auto" w:fill="FFFFFF"/>
        </w:rPr>
        <w:t>（6）洁白茉莉花干</w:t>
      </w:r>
    </w:p>
    <w:p w14:paraId="69B5C905">
      <w:pPr>
        <w:autoSpaceDE w:val="0"/>
        <w:autoSpaceDN w:val="0"/>
        <w:adjustRightInd w:val="0"/>
        <w:ind w:firstLine="640"/>
        <w:rPr>
          <w:rStyle w:val="9"/>
          <w:rFonts w:ascii="仿宋_GB2312" w:hAnsi="仿宋_GB2312" w:cs="仿宋_GB2312"/>
          <w:b w:val="0"/>
          <w:color w:val="0F1115"/>
          <w:shd w:val="clear" w:color="auto" w:fill="FFFFFF"/>
        </w:rPr>
      </w:pPr>
      <w:r>
        <w:rPr>
          <w:rFonts w:hint="eastAsia" w:ascii="仿宋_GB2312" w:hAnsi="仿宋_GB2312" w:cs="仿宋_GB2312"/>
          <w:color w:val="0F1115"/>
          <w:shd w:val="clear" w:color="auto" w:fill="FFFFFF"/>
        </w:rPr>
        <w:t>洁白茉莉花干是指在窨制过程中混入成品茶中的茉莉花干花，其含量既反映了窨制工艺中鲜花用量的多少（一定程度上与窨制次数和香气浓度正相关），也是衡量产品“洁净度”的重要指标——花干含量过高意味着产品中非茶类物质占比增大，不仅影响茶叶的纯净口感，也可能导致茶汤出现“花杂味”。本标准设定特种/特级≤1.0％、一级～五级≤1.5％，与GB/T 22292-2017中特种～二级≤1.0％、三～五级/碎茶/片茶≤1.5％的要求一致。检测数据中16款样品的洁白茉莉花干含量均符合相应等级的国标要求。新茶饮行业对原料的“纯净度”有更高要求——茶基底在与其他辅料调配时，若花干杂质过多，不仅影响口感纯净度，还可能在门店煮泡环节产生沉淀、影响产品外观。本标准维持与传统国标一致的洁白茉莉花干限值，在确保产品纯净度的同时，也为高窨次产品（七窨、八窨茉莉花茶）保留了合理的花干含量空间，体现了标准对传统工艺价值与新茶饮品质需求的双重兼顾。</w:t>
      </w:r>
    </w:p>
    <w:p w14:paraId="34F66BD9">
      <w:pPr>
        <w:autoSpaceDE w:val="0"/>
        <w:autoSpaceDN w:val="0"/>
        <w:adjustRightInd w:val="0"/>
        <w:spacing w:line="560" w:lineRule="exact"/>
        <w:ind w:firstLine="482" w:firstLineChars="150"/>
        <w:jc w:val="left"/>
        <w:outlineLvl w:val="1"/>
        <w:rPr>
          <w:rFonts w:ascii="仿宋_GB2312" w:hAnsi="仿宋_GB2312" w:cs="仿宋_GB2312"/>
          <w:b/>
          <w:bCs/>
          <w:color w:val="000000"/>
        </w:rPr>
      </w:pPr>
      <w:r>
        <w:rPr>
          <w:rFonts w:hint="eastAsia" w:ascii="仿宋_GB2312" w:hAnsi="仿宋_GB2312" w:cs="仿宋_GB2312"/>
          <w:b/>
          <w:bCs/>
          <w:color w:val="000000"/>
        </w:rPr>
        <w:t>（四）检验方法</w:t>
      </w:r>
    </w:p>
    <w:p w14:paraId="03D6B2CA">
      <w:pPr>
        <w:autoSpaceDE w:val="0"/>
        <w:autoSpaceDN w:val="0"/>
        <w:adjustRightInd w:val="0"/>
        <w:ind w:firstLine="640"/>
        <w:jc w:val="left"/>
        <w:rPr>
          <w:rFonts w:ascii="仿宋_GB2312" w:hAnsi="仿宋_GB2312" w:cs="仿宋_GB2312"/>
          <w:color w:val="000000"/>
        </w:rPr>
      </w:pPr>
      <w:r>
        <w:rPr>
          <w:rFonts w:hint="eastAsia" w:ascii="仿宋_GB2312" w:hAnsi="仿宋_GB2312" w:cs="仿宋_GB2312"/>
          <w:color w:val="000000"/>
        </w:rPr>
        <w:t>检验方法主要根据新茶饮用茶茉莉花绿茶的感官、理化指标的要求，分别列出。并依据相应检验方法及相关检验标准执行。</w:t>
      </w:r>
    </w:p>
    <w:p w14:paraId="31953339">
      <w:pPr>
        <w:autoSpaceDE w:val="0"/>
        <w:autoSpaceDN w:val="0"/>
        <w:adjustRightInd w:val="0"/>
        <w:spacing w:line="560" w:lineRule="exact"/>
        <w:ind w:left="640" w:firstLine="0" w:firstLineChars="0"/>
        <w:jc w:val="left"/>
        <w:outlineLvl w:val="1"/>
        <w:rPr>
          <w:rFonts w:ascii="仿宋_GB2312" w:hAnsi="仿宋_GB2312" w:cs="仿宋_GB2312"/>
          <w:b/>
          <w:bCs/>
          <w:color w:val="000000"/>
        </w:rPr>
      </w:pPr>
      <w:r>
        <w:rPr>
          <w:rFonts w:hint="eastAsia" w:ascii="仿宋_GB2312" w:hAnsi="仿宋_GB2312" w:cs="仿宋_GB2312"/>
          <w:b/>
          <w:bCs/>
          <w:color w:val="000000"/>
        </w:rPr>
        <w:t>（五）检验规则</w:t>
      </w:r>
    </w:p>
    <w:p w14:paraId="700E7E7C">
      <w:pPr>
        <w:autoSpaceDE w:val="0"/>
        <w:autoSpaceDN w:val="0"/>
        <w:adjustRightInd w:val="0"/>
        <w:spacing w:line="560" w:lineRule="exact"/>
        <w:ind w:firstLineChars="0"/>
        <w:jc w:val="left"/>
        <w:rPr>
          <w:color w:val="000000"/>
        </w:rPr>
      </w:pPr>
      <w:r>
        <w:rPr>
          <w:rFonts w:hint="eastAsia" w:ascii="仿宋_GB2312" w:hAnsi="仿宋_GB2312" w:cs="仿宋_GB2312"/>
          <w:color w:val="000000"/>
        </w:rPr>
        <w:t>检验规则主要依据新茶饮用茶茉莉花绿茶的生产实际确定，包括组批、抽样、出厂检验及判定规则。</w:t>
      </w:r>
    </w:p>
    <w:p w14:paraId="2CA8DF98">
      <w:pPr>
        <w:autoSpaceDE w:val="0"/>
        <w:autoSpaceDN w:val="0"/>
        <w:adjustRightInd w:val="0"/>
        <w:spacing w:line="560" w:lineRule="exact"/>
        <w:ind w:left="640" w:firstLine="0" w:firstLineChars="0"/>
        <w:jc w:val="left"/>
        <w:outlineLvl w:val="1"/>
        <w:rPr>
          <w:rFonts w:eastAsia="黑体"/>
          <w:color w:val="000000"/>
        </w:rPr>
      </w:pPr>
      <w:r>
        <w:rPr>
          <w:rFonts w:hint="eastAsia" w:ascii="黑体" w:hAnsi="黑体" w:eastAsia="黑体"/>
          <w:color w:val="000000"/>
        </w:rPr>
        <w:t>（六）标志、标签、包装、运输、贮存和保质期</w:t>
      </w:r>
    </w:p>
    <w:p w14:paraId="18329D01">
      <w:pPr>
        <w:autoSpaceDE w:val="0"/>
        <w:autoSpaceDN w:val="0"/>
        <w:adjustRightInd w:val="0"/>
        <w:ind w:firstLine="640"/>
        <w:jc w:val="left"/>
        <w:rPr>
          <w:rStyle w:val="9"/>
          <w:rFonts w:ascii="Segoe UI" w:hAnsi="Segoe UI" w:cs="Segoe UI"/>
          <w:color w:val="0F1115"/>
          <w:shd w:val="clear" w:color="auto" w:fill="FFFFFF"/>
        </w:rPr>
      </w:pPr>
      <w:r>
        <w:rPr>
          <w:rFonts w:hint="eastAsia" w:ascii="仿宋_GB2312"/>
          <w:color w:val="000000"/>
        </w:rPr>
        <w:t>主要根据产品是实际销售情况确定。</w:t>
      </w:r>
    </w:p>
    <w:p w14:paraId="09F6D8E4">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六、</w:t>
      </w:r>
      <w:bookmarkEnd w:id="6"/>
      <w:r>
        <w:rPr>
          <w:rFonts w:hint="eastAsia" w:ascii="黑体" w:hAnsi="黑体" w:eastAsia="黑体" w:cs="仿宋_GB2312"/>
          <w:szCs w:val="32"/>
        </w:rPr>
        <w:t>重大分歧意见的处理经过和依据</w:t>
      </w:r>
    </w:p>
    <w:p w14:paraId="74658F13">
      <w:pPr>
        <w:ind w:firstLine="640"/>
        <w:rPr>
          <w:rFonts w:ascii="仿宋_GB2312" w:hAnsi="仿宋_GB2312" w:cs="仿宋_GB2312"/>
          <w:szCs w:val="28"/>
        </w:rPr>
      </w:pPr>
      <w:r>
        <w:rPr>
          <w:rFonts w:hint="eastAsia" w:ascii="仿宋_GB2312" w:hAnsi="仿宋_GB2312" w:cs="仿宋_GB2312"/>
          <w:szCs w:val="28"/>
        </w:rPr>
        <w:t>本标准研制过程中无重大分歧意见。</w:t>
      </w:r>
    </w:p>
    <w:p w14:paraId="3AF54CD1">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七、实施标准的措施</w:t>
      </w:r>
    </w:p>
    <w:p w14:paraId="467D0A57">
      <w:pPr>
        <w:ind w:firstLine="643"/>
        <w:rPr>
          <w:rFonts w:ascii="仿宋_GB2312" w:hAnsi="仿宋_GB2312" w:cs="仿宋_GB2312"/>
          <w:b/>
          <w:szCs w:val="28"/>
        </w:rPr>
      </w:pPr>
      <w:r>
        <w:rPr>
          <w:rFonts w:hint="eastAsia" w:ascii="仿宋_GB2312" w:hAnsi="仿宋_GB2312" w:cs="仿宋_GB2312"/>
          <w:b/>
          <w:szCs w:val="28"/>
        </w:rPr>
        <w:t>（一）标准报批发布后，成立标准宣贯工作组</w:t>
      </w:r>
    </w:p>
    <w:p w14:paraId="08C0283D">
      <w:pPr>
        <w:ind w:firstLine="640"/>
        <w:rPr>
          <w:rFonts w:ascii="仿宋_GB2312" w:hAnsi="仿宋_GB2312" w:cs="仿宋_GB2312"/>
          <w:szCs w:val="28"/>
        </w:rPr>
      </w:pPr>
      <w:r>
        <w:rPr>
          <w:rFonts w:hint="eastAsia" w:ascii="仿宋_GB2312" w:hAnsi="仿宋_GB2312" w:cs="仿宋_GB231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6A467337">
      <w:pPr>
        <w:ind w:firstLine="643"/>
        <w:rPr>
          <w:rFonts w:ascii="仿宋_GB2312" w:hAnsi="仿宋_GB2312" w:cs="仿宋_GB2312"/>
          <w:b/>
          <w:szCs w:val="28"/>
        </w:rPr>
      </w:pPr>
      <w:r>
        <w:rPr>
          <w:rFonts w:hint="eastAsia" w:ascii="仿宋_GB2312" w:hAnsi="仿宋_GB2312" w:cs="仿宋_GB2312"/>
          <w:b/>
          <w:szCs w:val="28"/>
        </w:rPr>
        <w:t>（二）组织开展标准宣贯培训</w:t>
      </w:r>
    </w:p>
    <w:p w14:paraId="48C41FFE">
      <w:pPr>
        <w:ind w:firstLine="640"/>
        <w:rPr>
          <w:rFonts w:ascii="仿宋_GB2312" w:hAnsi="仿宋_GB2312" w:cs="仿宋_GB2312"/>
          <w:szCs w:val="28"/>
        </w:rPr>
      </w:pPr>
      <w:r>
        <w:rPr>
          <w:rFonts w:hint="eastAsia" w:ascii="仿宋_GB2312" w:hAnsi="仿宋_GB2312" w:cs="仿宋_GB231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4222E377">
      <w:pPr>
        <w:ind w:firstLine="643"/>
        <w:rPr>
          <w:rFonts w:ascii="仿宋_GB2312" w:hAnsi="仿宋_GB2312" w:cs="仿宋_GB2312"/>
          <w:b/>
          <w:szCs w:val="28"/>
        </w:rPr>
      </w:pPr>
      <w:r>
        <w:rPr>
          <w:rFonts w:hint="eastAsia" w:ascii="仿宋_GB2312" w:hAnsi="仿宋_GB2312" w:cs="仿宋_GB2312"/>
          <w:b/>
          <w:szCs w:val="28"/>
        </w:rPr>
        <w:t>（三）开展标准实施交流会，收集标准实施反馈信息</w:t>
      </w:r>
    </w:p>
    <w:p w14:paraId="1570E36B">
      <w:pPr>
        <w:ind w:firstLine="640"/>
        <w:rPr>
          <w:rFonts w:ascii="仿宋_GB2312" w:hAnsi="仿宋_GB2312" w:cs="仿宋_GB2312"/>
          <w:szCs w:val="28"/>
        </w:rPr>
      </w:pPr>
      <w:r>
        <w:rPr>
          <w:rFonts w:hint="eastAsia" w:ascii="仿宋_GB2312" w:hAnsi="仿宋_GB2312" w:cs="仿宋_GB231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08A61127">
      <w:pPr>
        <w:ind w:firstLine="643"/>
        <w:rPr>
          <w:rFonts w:ascii="仿宋_GB2312" w:hAnsi="仿宋_GB2312" w:cs="仿宋_GB2312"/>
          <w:b/>
          <w:szCs w:val="28"/>
        </w:rPr>
      </w:pPr>
      <w:r>
        <w:rPr>
          <w:rFonts w:hint="eastAsia" w:ascii="仿宋_GB2312" w:hAnsi="仿宋_GB2312" w:cs="仿宋_GB2312"/>
          <w:b/>
          <w:szCs w:val="28"/>
        </w:rPr>
        <w:t>（四）开展标准实施效果评估</w:t>
      </w:r>
    </w:p>
    <w:p w14:paraId="379D571C">
      <w:pPr>
        <w:ind w:firstLine="640"/>
        <w:rPr>
          <w:rFonts w:ascii="仿宋_GB2312" w:hAnsi="仿宋_GB2312" w:cs="仿宋_GB2312"/>
          <w:szCs w:val="28"/>
        </w:rPr>
      </w:pPr>
      <w:r>
        <w:rPr>
          <w:rFonts w:hint="eastAsia" w:ascii="仿宋_GB2312" w:hAnsi="仿宋_GB2312" w:cs="仿宋_GB231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5A91CFF8">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32B4FAE3">
      <w:pPr>
        <w:ind w:firstLine="640"/>
        <w:rPr>
          <w:rFonts w:ascii="仿宋_GB2312" w:hAnsi="仿宋_GB2312" w:cs="仿宋_GB2312"/>
          <w:szCs w:val="28"/>
        </w:rPr>
      </w:pPr>
      <w:r>
        <w:rPr>
          <w:rFonts w:hint="eastAsia" w:ascii="仿宋_GB2312" w:hAnsi="仿宋_GB2312" w:cs="仿宋_GB2312"/>
          <w:szCs w:val="28"/>
        </w:rPr>
        <w:t>无。</w:t>
      </w:r>
    </w:p>
    <w:p w14:paraId="7335FF52">
      <w:pPr>
        <w:ind w:firstLine="0" w:firstLineChars="0"/>
        <w:rPr>
          <w:rFonts w:ascii="仿宋_GB2312" w:hAnsi="仿宋_GB2312" w:cs="仿宋_GB2312"/>
          <w:bCs/>
          <w:sz w:val="36"/>
          <w:szCs w:val="32"/>
        </w:rPr>
      </w:pPr>
    </w:p>
    <w:p w14:paraId="3F538F4F">
      <w:pPr>
        <w:wordWrap w:val="0"/>
        <w:ind w:firstLine="560"/>
        <w:jc w:val="right"/>
        <w:rPr>
          <w:rFonts w:ascii="仿宋_GB2312" w:hAnsi="仿宋_GB2312" w:cs="仿宋_GB2312"/>
          <w:sz w:val="28"/>
          <w:szCs w:val="28"/>
        </w:rPr>
      </w:pPr>
      <w:r>
        <w:rPr>
          <w:rFonts w:hint="eastAsia" w:ascii="仿宋_GB2312" w:hAnsi="仿宋_GB2312" w:cs="仿宋_GB2312"/>
          <w:sz w:val="28"/>
          <w:szCs w:val="28"/>
        </w:rPr>
        <w:t>团体标准《新茶饮用茶  茉莉花绿茶》</w:t>
      </w:r>
    </w:p>
    <w:p w14:paraId="6B779364">
      <w:pPr>
        <w:ind w:firstLine="560"/>
        <w:jc w:val="right"/>
        <w:rPr>
          <w:rFonts w:ascii="仿宋_GB2312" w:hAnsi="仿宋_GB2312" w:cs="仿宋_GB2312"/>
          <w:szCs w:val="28"/>
        </w:rPr>
      </w:pPr>
      <w:r>
        <w:rPr>
          <w:rFonts w:hint="eastAsia" w:ascii="仿宋_GB2312" w:hAnsi="仿宋_GB2312" w:cs="仿宋_GB2312"/>
          <w:sz w:val="28"/>
          <w:szCs w:val="28"/>
        </w:rPr>
        <w:t>标准编制工作组</w:t>
      </w:r>
    </w:p>
    <w:p w14:paraId="7826C32D">
      <w:pPr>
        <w:wordWrap w:val="0"/>
        <w:ind w:firstLine="560"/>
        <w:jc w:val="right"/>
        <w:rPr>
          <w:rFonts w:ascii="仿宋_GB2312" w:hAnsi="仿宋_GB2312" w:cs="仿宋_GB2312"/>
          <w:szCs w:val="28"/>
        </w:rPr>
      </w:pPr>
      <w:r>
        <w:rPr>
          <w:rFonts w:hint="eastAsia" w:ascii="仿宋_GB2312" w:hAnsi="仿宋_GB2312" w:cs="仿宋_GB2312"/>
          <w:sz w:val="28"/>
          <w:szCs w:val="28"/>
        </w:rPr>
        <w:t>2026年8月20日</w:t>
      </w:r>
    </w:p>
    <w:sectPr>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6F5785F8">
        <w:pPr>
          <w:pStyle w:val="3"/>
          <w:ind w:firstLine="360"/>
          <w:jc w:val="center"/>
        </w:pPr>
        <w:r>
          <w:fldChar w:fldCharType="begin"/>
        </w:r>
        <w:r>
          <w:instrText xml:space="preserve">PAGE   \* MERGEFORMAT</w:instrText>
        </w:r>
        <w:r>
          <w:fldChar w:fldCharType="separate"/>
        </w:r>
        <w:r>
          <w:rPr>
            <w:lang w:val="zh-CN"/>
          </w:rPr>
          <w:t>2</w:t>
        </w:r>
        <w:r>
          <w:fldChar w:fldCharType="end"/>
        </w:r>
      </w:p>
    </w:sdtContent>
  </w:sdt>
  <w:p w14:paraId="2855C96F">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B50DB">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47DEE">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70997">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E5878">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02FA3">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4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4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7"/>
  </w:num>
  <w:num w:numId="8">
    <w:abstractNumId w:val="9"/>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076FF"/>
    <w:rsid w:val="000107BC"/>
    <w:rsid w:val="00013090"/>
    <w:rsid w:val="00016837"/>
    <w:rsid w:val="00021331"/>
    <w:rsid w:val="0002230A"/>
    <w:rsid w:val="00023119"/>
    <w:rsid w:val="00023FE2"/>
    <w:rsid w:val="00024212"/>
    <w:rsid w:val="00024664"/>
    <w:rsid w:val="00027D4D"/>
    <w:rsid w:val="00032CD6"/>
    <w:rsid w:val="00033257"/>
    <w:rsid w:val="00034233"/>
    <w:rsid w:val="00034BDB"/>
    <w:rsid w:val="00044EF2"/>
    <w:rsid w:val="00047D7B"/>
    <w:rsid w:val="00052165"/>
    <w:rsid w:val="00053B0B"/>
    <w:rsid w:val="000576D0"/>
    <w:rsid w:val="00057758"/>
    <w:rsid w:val="00060FE2"/>
    <w:rsid w:val="0007330D"/>
    <w:rsid w:val="0007384D"/>
    <w:rsid w:val="00073F72"/>
    <w:rsid w:val="000744AE"/>
    <w:rsid w:val="00074EB1"/>
    <w:rsid w:val="00076BBA"/>
    <w:rsid w:val="00080F2F"/>
    <w:rsid w:val="0008145A"/>
    <w:rsid w:val="00087BA3"/>
    <w:rsid w:val="0009177A"/>
    <w:rsid w:val="00093E74"/>
    <w:rsid w:val="000962F6"/>
    <w:rsid w:val="00097404"/>
    <w:rsid w:val="000A0201"/>
    <w:rsid w:val="000A1220"/>
    <w:rsid w:val="000A1EAE"/>
    <w:rsid w:val="000A3070"/>
    <w:rsid w:val="000A3744"/>
    <w:rsid w:val="000A4601"/>
    <w:rsid w:val="000A77CD"/>
    <w:rsid w:val="000B51AE"/>
    <w:rsid w:val="000B572A"/>
    <w:rsid w:val="000C6512"/>
    <w:rsid w:val="000D0ACE"/>
    <w:rsid w:val="000D15BE"/>
    <w:rsid w:val="000D44AD"/>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243"/>
    <w:rsid w:val="00133786"/>
    <w:rsid w:val="00134DD4"/>
    <w:rsid w:val="00135CBB"/>
    <w:rsid w:val="001435D3"/>
    <w:rsid w:val="001449B5"/>
    <w:rsid w:val="001463AC"/>
    <w:rsid w:val="00150FB3"/>
    <w:rsid w:val="0015152A"/>
    <w:rsid w:val="00156020"/>
    <w:rsid w:val="00156663"/>
    <w:rsid w:val="001611BB"/>
    <w:rsid w:val="00167167"/>
    <w:rsid w:val="001708F8"/>
    <w:rsid w:val="0018112C"/>
    <w:rsid w:val="00183467"/>
    <w:rsid w:val="00190A64"/>
    <w:rsid w:val="00190C6A"/>
    <w:rsid w:val="00191774"/>
    <w:rsid w:val="00191DCE"/>
    <w:rsid w:val="00191F75"/>
    <w:rsid w:val="001923CF"/>
    <w:rsid w:val="001925FD"/>
    <w:rsid w:val="001930A1"/>
    <w:rsid w:val="00194FE3"/>
    <w:rsid w:val="001954AC"/>
    <w:rsid w:val="00196054"/>
    <w:rsid w:val="0019711F"/>
    <w:rsid w:val="001A0DBF"/>
    <w:rsid w:val="001A3402"/>
    <w:rsid w:val="001B0E92"/>
    <w:rsid w:val="001B36E5"/>
    <w:rsid w:val="001B3B17"/>
    <w:rsid w:val="001B73AD"/>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5BB7"/>
    <w:rsid w:val="00217683"/>
    <w:rsid w:val="002223DD"/>
    <w:rsid w:val="002231E8"/>
    <w:rsid w:val="00223EB7"/>
    <w:rsid w:val="00224EB8"/>
    <w:rsid w:val="00231E62"/>
    <w:rsid w:val="00232769"/>
    <w:rsid w:val="00233498"/>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66510"/>
    <w:rsid w:val="00270391"/>
    <w:rsid w:val="002709B9"/>
    <w:rsid w:val="0027235B"/>
    <w:rsid w:val="00273A91"/>
    <w:rsid w:val="00283085"/>
    <w:rsid w:val="00283E25"/>
    <w:rsid w:val="0029084D"/>
    <w:rsid w:val="00291D7F"/>
    <w:rsid w:val="00291EF3"/>
    <w:rsid w:val="002952AC"/>
    <w:rsid w:val="0029607B"/>
    <w:rsid w:val="002A2FCF"/>
    <w:rsid w:val="002A4D06"/>
    <w:rsid w:val="002A5D80"/>
    <w:rsid w:val="002B07E3"/>
    <w:rsid w:val="002B20F4"/>
    <w:rsid w:val="002B23AB"/>
    <w:rsid w:val="002B2E35"/>
    <w:rsid w:val="002B3D69"/>
    <w:rsid w:val="002B5497"/>
    <w:rsid w:val="002C0ED5"/>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08EA"/>
    <w:rsid w:val="003025DF"/>
    <w:rsid w:val="0030297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2FF"/>
    <w:rsid w:val="00373BAD"/>
    <w:rsid w:val="00374390"/>
    <w:rsid w:val="003754CF"/>
    <w:rsid w:val="00381221"/>
    <w:rsid w:val="00381796"/>
    <w:rsid w:val="00382AB2"/>
    <w:rsid w:val="00386647"/>
    <w:rsid w:val="00386EDB"/>
    <w:rsid w:val="00391984"/>
    <w:rsid w:val="00392E22"/>
    <w:rsid w:val="0039549C"/>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112B"/>
    <w:rsid w:val="0045483D"/>
    <w:rsid w:val="00455661"/>
    <w:rsid w:val="0046025A"/>
    <w:rsid w:val="00460359"/>
    <w:rsid w:val="004605D8"/>
    <w:rsid w:val="004626AF"/>
    <w:rsid w:val="00465230"/>
    <w:rsid w:val="00467DEF"/>
    <w:rsid w:val="004715D8"/>
    <w:rsid w:val="004805D0"/>
    <w:rsid w:val="00480BA1"/>
    <w:rsid w:val="004814A9"/>
    <w:rsid w:val="0048357F"/>
    <w:rsid w:val="00483DA4"/>
    <w:rsid w:val="00484EF3"/>
    <w:rsid w:val="00485212"/>
    <w:rsid w:val="004865C9"/>
    <w:rsid w:val="0049011A"/>
    <w:rsid w:val="00490A0E"/>
    <w:rsid w:val="00491FE3"/>
    <w:rsid w:val="0049241F"/>
    <w:rsid w:val="0049390C"/>
    <w:rsid w:val="004A25C4"/>
    <w:rsid w:val="004A2878"/>
    <w:rsid w:val="004A614E"/>
    <w:rsid w:val="004A660C"/>
    <w:rsid w:val="004A76AB"/>
    <w:rsid w:val="004B05C8"/>
    <w:rsid w:val="004B2637"/>
    <w:rsid w:val="004B2E7F"/>
    <w:rsid w:val="004C4136"/>
    <w:rsid w:val="004D155D"/>
    <w:rsid w:val="004D2302"/>
    <w:rsid w:val="004D5B22"/>
    <w:rsid w:val="004E263F"/>
    <w:rsid w:val="004E3026"/>
    <w:rsid w:val="004F0593"/>
    <w:rsid w:val="004F48C2"/>
    <w:rsid w:val="004F6805"/>
    <w:rsid w:val="004F74F0"/>
    <w:rsid w:val="004F7FA9"/>
    <w:rsid w:val="005009D1"/>
    <w:rsid w:val="0050156A"/>
    <w:rsid w:val="00505469"/>
    <w:rsid w:val="005066ED"/>
    <w:rsid w:val="005067C2"/>
    <w:rsid w:val="0051028F"/>
    <w:rsid w:val="0051148B"/>
    <w:rsid w:val="00513080"/>
    <w:rsid w:val="00514C97"/>
    <w:rsid w:val="005159F5"/>
    <w:rsid w:val="00517495"/>
    <w:rsid w:val="00526200"/>
    <w:rsid w:val="005269CF"/>
    <w:rsid w:val="00533886"/>
    <w:rsid w:val="0053418A"/>
    <w:rsid w:val="00535AC6"/>
    <w:rsid w:val="00537550"/>
    <w:rsid w:val="0054317B"/>
    <w:rsid w:val="00545F2C"/>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A75B3"/>
    <w:rsid w:val="005B03D1"/>
    <w:rsid w:val="005B0CDC"/>
    <w:rsid w:val="005B23F7"/>
    <w:rsid w:val="005B7128"/>
    <w:rsid w:val="005B76D5"/>
    <w:rsid w:val="005B7B7E"/>
    <w:rsid w:val="005C468E"/>
    <w:rsid w:val="005C640F"/>
    <w:rsid w:val="005C6642"/>
    <w:rsid w:val="005D06D6"/>
    <w:rsid w:val="005D1EE1"/>
    <w:rsid w:val="005D2762"/>
    <w:rsid w:val="005D2AEE"/>
    <w:rsid w:val="005D3F96"/>
    <w:rsid w:val="005D5DDF"/>
    <w:rsid w:val="005D6A5C"/>
    <w:rsid w:val="005E05D4"/>
    <w:rsid w:val="005E207A"/>
    <w:rsid w:val="005E2143"/>
    <w:rsid w:val="005E4780"/>
    <w:rsid w:val="005F0995"/>
    <w:rsid w:val="005F1E35"/>
    <w:rsid w:val="005F1FE4"/>
    <w:rsid w:val="005F36D9"/>
    <w:rsid w:val="005F4F92"/>
    <w:rsid w:val="005F6C71"/>
    <w:rsid w:val="005F71EC"/>
    <w:rsid w:val="005F7613"/>
    <w:rsid w:val="006062AE"/>
    <w:rsid w:val="0060656D"/>
    <w:rsid w:val="00606B5A"/>
    <w:rsid w:val="00607937"/>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484F"/>
    <w:rsid w:val="006B6EA3"/>
    <w:rsid w:val="006C0CC0"/>
    <w:rsid w:val="006C0CC1"/>
    <w:rsid w:val="006C6B87"/>
    <w:rsid w:val="006C70ED"/>
    <w:rsid w:val="006D4B56"/>
    <w:rsid w:val="006D4CCC"/>
    <w:rsid w:val="006D5D5F"/>
    <w:rsid w:val="006E155C"/>
    <w:rsid w:val="006E5571"/>
    <w:rsid w:val="006E65EC"/>
    <w:rsid w:val="006E7520"/>
    <w:rsid w:val="006F03ED"/>
    <w:rsid w:val="006F67E6"/>
    <w:rsid w:val="006F77F7"/>
    <w:rsid w:val="00700D32"/>
    <w:rsid w:val="0070138D"/>
    <w:rsid w:val="00701A2B"/>
    <w:rsid w:val="0070266E"/>
    <w:rsid w:val="00705429"/>
    <w:rsid w:val="0070730B"/>
    <w:rsid w:val="00712BC5"/>
    <w:rsid w:val="00714593"/>
    <w:rsid w:val="00715CA4"/>
    <w:rsid w:val="00716EAC"/>
    <w:rsid w:val="00720395"/>
    <w:rsid w:val="00722AAE"/>
    <w:rsid w:val="0072448B"/>
    <w:rsid w:val="007245EF"/>
    <w:rsid w:val="00725107"/>
    <w:rsid w:val="00726016"/>
    <w:rsid w:val="00726F82"/>
    <w:rsid w:val="00742EDD"/>
    <w:rsid w:val="007432F4"/>
    <w:rsid w:val="0075401E"/>
    <w:rsid w:val="00755471"/>
    <w:rsid w:val="007556A8"/>
    <w:rsid w:val="00755E21"/>
    <w:rsid w:val="00756686"/>
    <w:rsid w:val="00760DDA"/>
    <w:rsid w:val="00760FBD"/>
    <w:rsid w:val="00764175"/>
    <w:rsid w:val="007715E7"/>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1767A"/>
    <w:rsid w:val="00825BEF"/>
    <w:rsid w:val="008275DE"/>
    <w:rsid w:val="0083025F"/>
    <w:rsid w:val="00831A4E"/>
    <w:rsid w:val="00831DFB"/>
    <w:rsid w:val="00834158"/>
    <w:rsid w:val="00834F29"/>
    <w:rsid w:val="0083542B"/>
    <w:rsid w:val="00837133"/>
    <w:rsid w:val="00841879"/>
    <w:rsid w:val="00841FDD"/>
    <w:rsid w:val="00843099"/>
    <w:rsid w:val="00844A63"/>
    <w:rsid w:val="00845B6B"/>
    <w:rsid w:val="00852EF3"/>
    <w:rsid w:val="0085555C"/>
    <w:rsid w:val="0085722C"/>
    <w:rsid w:val="00860076"/>
    <w:rsid w:val="00864B42"/>
    <w:rsid w:val="00864EDC"/>
    <w:rsid w:val="008717FD"/>
    <w:rsid w:val="00872085"/>
    <w:rsid w:val="0087311E"/>
    <w:rsid w:val="00874562"/>
    <w:rsid w:val="008766A7"/>
    <w:rsid w:val="0088023F"/>
    <w:rsid w:val="00884AB2"/>
    <w:rsid w:val="008853E8"/>
    <w:rsid w:val="00890B67"/>
    <w:rsid w:val="00893361"/>
    <w:rsid w:val="00893A8E"/>
    <w:rsid w:val="00893CE3"/>
    <w:rsid w:val="008941F8"/>
    <w:rsid w:val="0089639E"/>
    <w:rsid w:val="0089684C"/>
    <w:rsid w:val="008A1448"/>
    <w:rsid w:val="008A328F"/>
    <w:rsid w:val="008A42EB"/>
    <w:rsid w:val="008A4E58"/>
    <w:rsid w:val="008A5709"/>
    <w:rsid w:val="008B1A6F"/>
    <w:rsid w:val="008B35DA"/>
    <w:rsid w:val="008B6562"/>
    <w:rsid w:val="008B7C56"/>
    <w:rsid w:val="008C09C6"/>
    <w:rsid w:val="008C1BE0"/>
    <w:rsid w:val="008C5328"/>
    <w:rsid w:val="008C6844"/>
    <w:rsid w:val="008C6E79"/>
    <w:rsid w:val="008D1502"/>
    <w:rsid w:val="008D2E6B"/>
    <w:rsid w:val="008D3059"/>
    <w:rsid w:val="008D44E2"/>
    <w:rsid w:val="008D5C1F"/>
    <w:rsid w:val="008D612C"/>
    <w:rsid w:val="008E0C90"/>
    <w:rsid w:val="008E340A"/>
    <w:rsid w:val="008F024A"/>
    <w:rsid w:val="008F4CD3"/>
    <w:rsid w:val="008F62FB"/>
    <w:rsid w:val="00900B1D"/>
    <w:rsid w:val="00901C67"/>
    <w:rsid w:val="00904A51"/>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4A5C"/>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2D31"/>
    <w:rsid w:val="00993328"/>
    <w:rsid w:val="00995822"/>
    <w:rsid w:val="00997A44"/>
    <w:rsid w:val="009A008D"/>
    <w:rsid w:val="009A0C7B"/>
    <w:rsid w:val="009A1FC7"/>
    <w:rsid w:val="009A7254"/>
    <w:rsid w:val="009B2BF4"/>
    <w:rsid w:val="009B52A3"/>
    <w:rsid w:val="009B53BA"/>
    <w:rsid w:val="009B609B"/>
    <w:rsid w:val="009B6F4E"/>
    <w:rsid w:val="009B6FA5"/>
    <w:rsid w:val="009B74CD"/>
    <w:rsid w:val="009C2227"/>
    <w:rsid w:val="009D1F6F"/>
    <w:rsid w:val="009D38DB"/>
    <w:rsid w:val="009D3D0A"/>
    <w:rsid w:val="009D628E"/>
    <w:rsid w:val="009D62DE"/>
    <w:rsid w:val="009E129D"/>
    <w:rsid w:val="009E1F06"/>
    <w:rsid w:val="009E5DEF"/>
    <w:rsid w:val="009E6B6B"/>
    <w:rsid w:val="009F09A7"/>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4FF5"/>
    <w:rsid w:val="00A35F3F"/>
    <w:rsid w:val="00A36B38"/>
    <w:rsid w:val="00A40234"/>
    <w:rsid w:val="00A43B03"/>
    <w:rsid w:val="00A4496C"/>
    <w:rsid w:val="00A51323"/>
    <w:rsid w:val="00A51BDA"/>
    <w:rsid w:val="00A52FED"/>
    <w:rsid w:val="00A5356B"/>
    <w:rsid w:val="00A547EA"/>
    <w:rsid w:val="00A54EE3"/>
    <w:rsid w:val="00A60040"/>
    <w:rsid w:val="00A61125"/>
    <w:rsid w:val="00A64033"/>
    <w:rsid w:val="00A65635"/>
    <w:rsid w:val="00A66230"/>
    <w:rsid w:val="00A66B33"/>
    <w:rsid w:val="00A706DE"/>
    <w:rsid w:val="00A70BEA"/>
    <w:rsid w:val="00A70F4F"/>
    <w:rsid w:val="00A71744"/>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4019"/>
    <w:rsid w:val="00AE5941"/>
    <w:rsid w:val="00AE7E72"/>
    <w:rsid w:val="00AF00B0"/>
    <w:rsid w:val="00AF0B6E"/>
    <w:rsid w:val="00AF0C1B"/>
    <w:rsid w:val="00AF1152"/>
    <w:rsid w:val="00AF20DE"/>
    <w:rsid w:val="00AF2C7E"/>
    <w:rsid w:val="00AF337C"/>
    <w:rsid w:val="00AF365B"/>
    <w:rsid w:val="00AF3BC9"/>
    <w:rsid w:val="00B009E1"/>
    <w:rsid w:val="00B0152E"/>
    <w:rsid w:val="00B06F77"/>
    <w:rsid w:val="00B13069"/>
    <w:rsid w:val="00B17EA4"/>
    <w:rsid w:val="00B200B1"/>
    <w:rsid w:val="00B2197E"/>
    <w:rsid w:val="00B2401D"/>
    <w:rsid w:val="00B271E2"/>
    <w:rsid w:val="00B27F1E"/>
    <w:rsid w:val="00B320E0"/>
    <w:rsid w:val="00B32D83"/>
    <w:rsid w:val="00B35A2B"/>
    <w:rsid w:val="00B43FA4"/>
    <w:rsid w:val="00B44C87"/>
    <w:rsid w:val="00B47772"/>
    <w:rsid w:val="00B47DC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49A0"/>
    <w:rsid w:val="00B873B1"/>
    <w:rsid w:val="00B91C42"/>
    <w:rsid w:val="00B9497A"/>
    <w:rsid w:val="00BB0ED6"/>
    <w:rsid w:val="00BB1C0A"/>
    <w:rsid w:val="00BB4376"/>
    <w:rsid w:val="00BB4A45"/>
    <w:rsid w:val="00BB4B74"/>
    <w:rsid w:val="00BB6FED"/>
    <w:rsid w:val="00BC41B2"/>
    <w:rsid w:val="00BC45B6"/>
    <w:rsid w:val="00BC4F9E"/>
    <w:rsid w:val="00BD6E93"/>
    <w:rsid w:val="00BE0799"/>
    <w:rsid w:val="00BE26D9"/>
    <w:rsid w:val="00BE78B1"/>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2FE"/>
    <w:rsid w:val="00C33C36"/>
    <w:rsid w:val="00C34E53"/>
    <w:rsid w:val="00C37264"/>
    <w:rsid w:val="00C408D1"/>
    <w:rsid w:val="00C44645"/>
    <w:rsid w:val="00C50A3F"/>
    <w:rsid w:val="00C51474"/>
    <w:rsid w:val="00C51847"/>
    <w:rsid w:val="00C51F3A"/>
    <w:rsid w:val="00C55610"/>
    <w:rsid w:val="00C55C36"/>
    <w:rsid w:val="00C6064E"/>
    <w:rsid w:val="00C61072"/>
    <w:rsid w:val="00C6137D"/>
    <w:rsid w:val="00C61540"/>
    <w:rsid w:val="00C61B0C"/>
    <w:rsid w:val="00C634E4"/>
    <w:rsid w:val="00C67D4C"/>
    <w:rsid w:val="00C706FA"/>
    <w:rsid w:val="00C808FE"/>
    <w:rsid w:val="00C81D18"/>
    <w:rsid w:val="00C82258"/>
    <w:rsid w:val="00C82744"/>
    <w:rsid w:val="00C83371"/>
    <w:rsid w:val="00C836D9"/>
    <w:rsid w:val="00C84109"/>
    <w:rsid w:val="00C843F0"/>
    <w:rsid w:val="00C85F66"/>
    <w:rsid w:val="00C95F0B"/>
    <w:rsid w:val="00CA0CFD"/>
    <w:rsid w:val="00CA37C8"/>
    <w:rsid w:val="00CA4674"/>
    <w:rsid w:val="00CA5047"/>
    <w:rsid w:val="00CA7C2A"/>
    <w:rsid w:val="00CA7EEA"/>
    <w:rsid w:val="00CC1221"/>
    <w:rsid w:val="00CC1894"/>
    <w:rsid w:val="00CC4EE7"/>
    <w:rsid w:val="00CD2275"/>
    <w:rsid w:val="00CD30B5"/>
    <w:rsid w:val="00CD34B2"/>
    <w:rsid w:val="00CD4CC6"/>
    <w:rsid w:val="00CD5C22"/>
    <w:rsid w:val="00CE363E"/>
    <w:rsid w:val="00CF1430"/>
    <w:rsid w:val="00CF1AE4"/>
    <w:rsid w:val="00D0046C"/>
    <w:rsid w:val="00D00979"/>
    <w:rsid w:val="00D01E3B"/>
    <w:rsid w:val="00D05480"/>
    <w:rsid w:val="00D06EEA"/>
    <w:rsid w:val="00D115E2"/>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1DF8"/>
    <w:rsid w:val="00D65D7A"/>
    <w:rsid w:val="00D6793A"/>
    <w:rsid w:val="00D70287"/>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4961"/>
    <w:rsid w:val="00DC551D"/>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3C37"/>
    <w:rsid w:val="00E26D09"/>
    <w:rsid w:val="00E26EE5"/>
    <w:rsid w:val="00E32815"/>
    <w:rsid w:val="00E33554"/>
    <w:rsid w:val="00E40596"/>
    <w:rsid w:val="00E40BA9"/>
    <w:rsid w:val="00E41B77"/>
    <w:rsid w:val="00E451CB"/>
    <w:rsid w:val="00E45EC3"/>
    <w:rsid w:val="00E47C4F"/>
    <w:rsid w:val="00E54124"/>
    <w:rsid w:val="00E541A3"/>
    <w:rsid w:val="00E55A71"/>
    <w:rsid w:val="00E56839"/>
    <w:rsid w:val="00E6080C"/>
    <w:rsid w:val="00E61CA3"/>
    <w:rsid w:val="00E637BB"/>
    <w:rsid w:val="00E638C8"/>
    <w:rsid w:val="00E658DD"/>
    <w:rsid w:val="00E65D7E"/>
    <w:rsid w:val="00E70383"/>
    <w:rsid w:val="00E7427C"/>
    <w:rsid w:val="00E75972"/>
    <w:rsid w:val="00E815D2"/>
    <w:rsid w:val="00E82204"/>
    <w:rsid w:val="00E8377B"/>
    <w:rsid w:val="00E83A77"/>
    <w:rsid w:val="00E86B52"/>
    <w:rsid w:val="00E8796C"/>
    <w:rsid w:val="00E90251"/>
    <w:rsid w:val="00E933C0"/>
    <w:rsid w:val="00E93B86"/>
    <w:rsid w:val="00E962B7"/>
    <w:rsid w:val="00E96877"/>
    <w:rsid w:val="00E978BF"/>
    <w:rsid w:val="00EA1188"/>
    <w:rsid w:val="00EA3C4E"/>
    <w:rsid w:val="00EB0752"/>
    <w:rsid w:val="00EB0AE1"/>
    <w:rsid w:val="00EB0AF8"/>
    <w:rsid w:val="00EB1186"/>
    <w:rsid w:val="00EB77CC"/>
    <w:rsid w:val="00EC0997"/>
    <w:rsid w:val="00EC2EEF"/>
    <w:rsid w:val="00EC5DDD"/>
    <w:rsid w:val="00EC6B51"/>
    <w:rsid w:val="00ED2F39"/>
    <w:rsid w:val="00ED30F4"/>
    <w:rsid w:val="00ED43BB"/>
    <w:rsid w:val="00ED449A"/>
    <w:rsid w:val="00ED5314"/>
    <w:rsid w:val="00ED68E9"/>
    <w:rsid w:val="00EE1FC2"/>
    <w:rsid w:val="00EE568F"/>
    <w:rsid w:val="00EF19E3"/>
    <w:rsid w:val="00EF346D"/>
    <w:rsid w:val="00EF670C"/>
    <w:rsid w:val="00F01ED0"/>
    <w:rsid w:val="00F11F09"/>
    <w:rsid w:val="00F1455B"/>
    <w:rsid w:val="00F16D36"/>
    <w:rsid w:val="00F210FD"/>
    <w:rsid w:val="00F250D2"/>
    <w:rsid w:val="00F25716"/>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B7E08"/>
    <w:rsid w:val="00FC037E"/>
    <w:rsid w:val="00FC19B9"/>
    <w:rsid w:val="00FC4D35"/>
    <w:rsid w:val="00FC4DE3"/>
    <w:rsid w:val="00FC6716"/>
    <w:rsid w:val="00FD00A5"/>
    <w:rsid w:val="00FD319B"/>
    <w:rsid w:val="00FD4B0F"/>
    <w:rsid w:val="00FE0661"/>
    <w:rsid w:val="00FF0C09"/>
    <w:rsid w:val="00FF1DD7"/>
    <w:rsid w:val="00FF3775"/>
    <w:rsid w:val="0136732D"/>
    <w:rsid w:val="01B91D0C"/>
    <w:rsid w:val="01CE5D1C"/>
    <w:rsid w:val="024C2B81"/>
    <w:rsid w:val="02663C42"/>
    <w:rsid w:val="0301396B"/>
    <w:rsid w:val="034904DF"/>
    <w:rsid w:val="039E595D"/>
    <w:rsid w:val="03E77005"/>
    <w:rsid w:val="041651F4"/>
    <w:rsid w:val="04441D61"/>
    <w:rsid w:val="04F16063"/>
    <w:rsid w:val="050B287F"/>
    <w:rsid w:val="0530678A"/>
    <w:rsid w:val="060A0D89"/>
    <w:rsid w:val="070F07F6"/>
    <w:rsid w:val="08083403"/>
    <w:rsid w:val="088A4B5D"/>
    <w:rsid w:val="09694018"/>
    <w:rsid w:val="09BE5E2A"/>
    <w:rsid w:val="0A091F73"/>
    <w:rsid w:val="0A8504E9"/>
    <w:rsid w:val="0CC151AB"/>
    <w:rsid w:val="0D7F02AE"/>
    <w:rsid w:val="0D92619C"/>
    <w:rsid w:val="0DF465A6"/>
    <w:rsid w:val="0F412CA9"/>
    <w:rsid w:val="0FD566D2"/>
    <w:rsid w:val="118934A9"/>
    <w:rsid w:val="11924EB2"/>
    <w:rsid w:val="11A554D7"/>
    <w:rsid w:val="12AF5192"/>
    <w:rsid w:val="13B2170D"/>
    <w:rsid w:val="13B97480"/>
    <w:rsid w:val="13CB172E"/>
    <w:rsid w:val="14034EB5"/>
    <w:rsid w:val="14787805"/>
    <w:rsid w:val="14870494"/>
    <w:rsid w:val="15085E8C"/>
    <w:rsid w:val="15174F60"/>
    <w:rsid w:val="1556095A"/>
    <w:rsid w:val="15E11B06"/>
    <w:rsid w:val="167D7F24"/>
    <w:rsid w:val="16D451C7"/>
    <w:rsid w:val="17306AB5"/>
    <w:rsid w:val="17373F64"/>
    <w:rsid w:val="17614581"/>
    <w:rsid w:val="17805371"/>
    <w:rsid w:val="180F222F"/>
    <w:rsid w:val="18194E5B"/>
    <w:rsid w:val="196640D0"/>
    <w:rsid w:val="19A054D6"/>
    <w:rsid w:val="19CB14D4"/>
    <w:rsid w:val="1B0717C8"/>
    <w:rsid w:val="1B295A57"/>
    <w:rsid w:val="1B636B19"/>
    <w:rsid w:val="1BE33681"/>
    <w:rsid w:val="1CCC6940"/>
    <w:rsid w:val="1EB350B6"/>
    <w:rsid w:val="1ED45248"/>
    <w:rsid w:val="1FD2426D"/>
    <w:rsid w:val="201C7BDE"/>
    <w:rsid w:val="20355E85"/>
    <w:rsid w:val="20653288"/>
    <w:rsid w:val="209339DE"/>
    <w:rsid w:val="21862EC6"/>
    <w:rsid w:val="218D48F0"/>
    <w:rsid w:val="237A2B2A"/>
    <w:rsid w:val="23EF1892"/>
    <w:rsid w:val="24174945"/>
    <w:rsid w:val="2426102C"/>
    <w:rsid w:val="257227BA"/>
    <w:rsid w:val="25CB074B"/>
    <w:rsid w:val="25F52A64"/>
    <w:rsid w:val="265B5E13"/>
    <w:rsid w:val="267B565F"/>
    <w:rsid w:val="26A56238"/>
    <w:rsid w:val="26C863CA"/>
    <w:rsid w:val="2718377D"/>
    <w:rsid w:val="280B47C0"/>
    <w:rsid w:val="28135ECF"/>
    <w:rsid w:val="29F714A0"/>
    <w:rsid w:val="2A16744D"/>
    <w:rsid w:val="2AAC5B23"/>
    <w:rsid w:val="2AB32EED"/>
    <w:rsid w:val="2B3109E2"/>
    <w:rsid w:val="2B487ADA"/>
    <w:rsid w:val="2BE55328"/>
    <w:rsid w:val="2C254300"/>
    <w:rsid w:val="2C416A03"/>
    <w:rsid w:val="2C4F36F5"/>
    <w:rsid w:val="2D5F22BD"/>
    <w:rsid w:val="2D7D7F0E"/>
    <w:rsid w:val="2DF6381D"/>
    <w:rsid w:val="2EBD433B"/>
    <w:rsid w:val="2EC76F67"/>
    <w:rsid w:val="2FF37D11"/>
    <w:rsid w:val="3013049D"/>
    <w:rsid w:val="31507BB8"/>
    <w:rsid w:val="32CE4D68"/>
    <w:rsid w:val="32DE5D04"/>
    <w:rsid w:val="332C3D99"/>
    <w:rsid w:val="3491604D"/>
    <w:rsid w:val="35150A2C"/>
    <w:rsid w:val="359758E5"/>
    <w:rsid w:val="35F9034E"/>
    <w:rsid w:val="365875C5"/>
    <w:rsid w:val="37623CD1"/>
    <w:rsid w:val="37E6086A"/>
    <w:rsid w:val="38673C95"/>
    <w:rsid w:val="39356049"/>
    <w:rsid w:val="395104A1"/>
    <w:rsid w:val="39822409"/>
    <w:rsid w:val="3A296D28"/>
    <w:rsid w:val="3A7C32FC"/>
    <w:rsid w:val="3B0E03F8"/>
    <w:rsid w:val="3B3B4F65"/>
    <w:rsid w:val="3B4E60E4"/>
    <w:rsid w:val="3BFE2074"/>
    <w:rsid w:val="3C3178A8"/>
    <w:rsid w:val="3C5938F5"/>
    <w:rsid w:val="3C7F013C"/>
    <w:rsid w:val="3E38578C"/>
    <w:rsid w:val="3E3C527C"/>
    <w:rsid w:val="3E6912FB"/>
    <w:rsid w:val="3EB55265"/>
    <w:rsid w:val="3F5860E5"/>
    <w:rsid w:val="3F8C7277"/>
    <w:rsid w:val="3FA0222F"/>
    <w:rsid w:val="42D769B6"/>
    <w:rsid w:val="42E83B26"/>
    <w:rsid w:val="4359067E"/>
    <w:rsid w:val="44F600D3"/>
    <w:rsid w:val="45617704"/>
    <w:rsid w:val="4597723C"/>
    <w:rsid w:val="45C142B9"/>
    <w:rsid w:val="464E0242"/>
    <w:rsid w:val="483B0352"/>
    <w:rsid w:val="48B048DB"/>
    <w:rsid w:val="492434DC"/>
    <w:rsid w:val="4A6718D3"/>
    <w:rsid w:val="4ADB2CA1"/>
    <w:rsid w:val="4B8C0594"/>
    <w:rsid w:val="4C0F7B1B"/>
    <w:rsid w:val="4CFE380A"/>
    <w:rsid w:val="4D862B8C"/>
    <w:rsid w:val="4DFF35F5"/>
    <w:rsid w:val="4ECE0172"/>
    <w:rsid w:val="4EF47599"/>
    <w:rsid w:val="4F844CD5"/>
    <w:rsid w:val="4FE3578A"/>
    <w:rsid w:val="501871CB"/>
    <w:rsid w:val="52C06024"/>
    <w:rsid w:val="53963229"/>
    <w:rsid w:val="54E94B5B"/>
    <w:rsid w:val="55661639"/>
    <w:rsid w:val="55761622"/>
    <w:rsid w:val="55801A9A"/>
    <w:rsid w:val="55F928C7"/>
    <w:rsid w:val="5626534E"/>
    <w:rsid w:val="57727B09"/>
    <w:rsid w:val="5945756E"/>
    <w:rsid w:val="5ACB1A0A"/>
    <w:rsid w:val="5BBA4800"/>
    <w:rsid w:val="5BCA3A6F"/>
    <w:rsid w:val="5BD857FA"/>
    <w:rsid w:val="5C080481"/>
    <w:rsid w:val="5CE45005"/>
    <w:rsid w:val="5DB11343"/>
    <w:rsid w:val="5E202145"/>
    <w:rsid w:val="5EA902B4"/>
    <w:rsid w:val="5EC6793D"/>
    <w:rsid w:val="5ED2069F"/>
    <w:rsid w:val="5EF57055"/>
    <w:rsid w:val="5F223BC2"/>
    <w:rsid w:val="5F621BCD"/>
    <w:rsid w:val="5F717FA2"/>
    <w:rsid w:val="6031647B"/>
    <w:rsid w:val="60651FB9"/>
    <w:rsid w:val="60FB46CB"/>
    <w:rsid w:val="61BE5E24"/>
    <w:rsid w:val="62F74A7A"/>
    <w:rsid w:val="63247F09"/>
    <w:rsid w:val="63F20007"/>
    <w:rsid w:val="64487C27"/>
    <w:rsid w:val="645E744B"/>
    <w:rsid w:val="668E2223"/>
    <w:rsid w:val="683026D9"/>
    <w:rsid w:val="689A6DDC"/>
    <w:rsid w:val="693F388B"/>
    <w:rsid w:val="69C75A92"/>
    <w:rsid w:val="69EE1271"/>
    <w:rsid w:val="69F50021"/>
    <w:rsid w:val="6A301889"/>
    <w:rsid w:val="6C865790"/>
    <w:rsid w:val="6C9003BD"/>
    <w:rsid w:val="6D21370B"/>
    <w:rsid w:val="6DBA21A1"/>
    <w:rsid w:val="6DDB516E"/>
    <w:rsid w:val="6E7C32EF"/>
    <w:rsid w:val="6EB20ABF"/>
    <w:rsid w:val="6FB6638D"/>
    <w:rsid w:val="6FBE3493"/>
    <w:rsid w:val="709541F4"/>
    <w:rsid w:val="713752AB"/>
    <w:rsid w:val="718524BB"/>
    <w:rsid w:val="71C31235"/>
    <w:rsid w:val="725956F5"/>
    <w:rsid w:val="72EB27F1"/>
    <w:rsid w:val="73245D03"/>
    <w:rsid w:val="73731F46"/>
    <w:rsid w:val="73982DBC"/>
    <w:rsid w:val="743B3304"/>
    <w:rsid w:val="74604B19"/>
    <w:rsid w:val="757D171F"/>
    <w:rsid w:val="769D02A6"/>
    <w:rsid w:val="78AA0A59"/>
    <w:rsid w:val="78AF3D07"/>
    <w:rsid w:val="79B06543"/>
    <w:rsid w:val="7AF5051C"/>
    <w:rsid w:val="7BBA680A"/>
    <w:rsid w:val="7BE826AE"/>
    <w:rsid w:val="7CAF2AE1"/>
    <w:rsid w:val="7CCF532E"/>
    <w:rsid w:val="7D0746CC"/>
    <w:rsid w:val="7D342FE7"/>
    <w:rsid w:val="7D3C49C8"/>
    <w:rsid w:val="7D480840"/>
    <w:rsid w:val="7E00338F"/>
    <w:rsid w:val="7E635932"/>
    <w:rsid w:val="7F9B5070"/>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36"/>
    <w:semiHidden/>
    <w:unhideWhenUsed/>
    <w:qFormat/>
    <w:uiPriority w:val="0"/>
    <w:rPr>
      <w:sz w:val="18"/>
      <w:szCs w:val="18"/>
    </w:rPr>
  </w:style>
  <w:style w:type="paragraph" w:styleId="3">
    <w:name w:val="footer"/>
    <w:basedOn w:val="1"/>
    <w:link w:val="28"/>
    <w:qFormat/>
    <w:uiPriority w:val="99"/>
    <w:pPr>
      <w:tabs>
        <w:tab w:val="center" w:pos="4153"/>
        <w:tab w:val="right" w:pos="8306"/>
      </w:tabs>
      <w:snapToGrid w:val="0"/>
      <w:jc w:val="left"/>
    </w:pPr>
    <w:rPr>
      <w:sz w:val="18"/>
      <w:szCs w:val="18"/>
    </w:rPr>
  </w:style>
  <w:style w:type="paragraph" w:styleId="4">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1"/>
      </w:numPr>
      <w:jc w:val="left"/>
    </w:pPr>
    <w:rPr>
      <w:rFonts w:eastAsia="黑体"/>
      <w:kern w:val="0"/>
      <w:sz w:val="28"/>
      <w:szCs w:val="20"/>
    </w:rPr>
  </w:style>
  <w:style w:type="paragraph" w:customStyle="1" w:styleId="15">
    <w:name w:val="一级条标题"/>
    <w:next w:val="1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4"/>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6"/>
      </w:numPr>
    </w:pPr>
    <w:rPr>
      <w:rFonts w:ascii="宋体"/>
      <w:sz w:val="18"/>
      <w:szCs w:val="18"/>
    </w:rPr>
  </w:style>
  <w:style w:type="character" w:customStyle="1" w:styleId="26">
    <w:name w:val="段 Char"/>
    <w:basedOn w:val="8"/>
    <w:link w:val="11"/>
    <w:qFormat/>
    <w:uiPriority w:val="0"/>
    <w:rPr>
      <w:rFonts w:ascii="宋体"/>
      <w:sz w:val="21"/>
      <w:lang w:val="en-US" w:eastAsia="zh-CN" w:bidi="ar-SA"/>
    </w:rPr>
  </w:style>
  <w:style w:type="character" w:customStyle="1" w:styleId="27">
    <w:name w:val="页眉 Char"/>
    <w:basedOn w:val="8"/>
    <w:link w:val="4"/>
    <w:qFormat/>
    <w:uiPriority w:val="0"/>
    <w:rPr>
      <w:kern w:val="2"/>
      <w:sz w:val="18"/>
      <w:szCs w:val="18"/>
    </w:rPr>
  </w:style>
  <w:style w:type="character" w:customStyle="1" w:styleId="28">
    <w:name w:val="页脚 Char"/>
    <w:basedOn w:val="8"/>
    <w:link w:val="3"/>
    <w:qFormat/>
    <w:uiPriority w:val="99"/>
    <w:rPr>
      <w:kern w:val="2"/>
      <w:sz w:val="18"/>
      <w:szCs w:val="18"/>
    </w:rPr>
  </w:style>
  <w:style w:type="paragraph" w:customStyle="1" w:styleId="29">
    <w:name w:val="附录表标题"/>
    <w:basedOn w:val="1"/>
    <w:next w:val="11"/>
    <w:qFormat/>
    <w:uiPriority w:val="0"/>
    <w:pPr>
      <w:numPr>
        <w:ilvl w:val="1"/>
        <w:numId w:val="7"/>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0"/>
    <w:pPr>
      <w:ind w:firstLine="42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Char"/>
    <w:basedOn w:val="8"/>
    <w:link w:val="2"/>
    <w:semiHidden/>
    <w:qFormat/>
    <w:uiPriority w:val="0"/>
    <w:rPr>
      <w:rFonts w:ascii="Times New Roman" w:hAnsi="Times New Roman"/>
      <w:kern w:val="2"/>
      <w:sz w:val="18"/>
      <w:szCs w:val="18"/>
    </w:rPr>
  </w:style>
  <w:style w:type="paragraph" w:customStyle="1" w:styleId="37">
    <w:name w:val="标准文件_章标题"/>
    <w:next w:val="35"/>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8">
    <w:name w:val="标准文件_一级无标题"/>
    <w:basedOn w:val="39"/>
    <w:qFormat/>
    <w:uiPriority w:val="0"/>
    <w:pPr>
      <w:spacing w:beforeLines="0" w:afterLines="0"/>
      <w:outlineLvl w:val="9"/>
    </w:pPr>
    <w:rPr>
      <w:rFonts w:ascii="宋体" w:eastAsia="宋体"/>
    </w:rPr>
  </w:style>
  <w:style w:type="paragraph" w:customStyle="1" w:styleId="39">
    <w:name w:val="标准文件_一级条标题"/>
    <w:basedOn w:val="37"/>
    <w:next w:val="35"/>
    <w:qFormat/>
    <w:uiPriority w:val="0"/>
    <w:pPr>
      <w:numPr>
        <w:ilvl w:val="2"/>
      </w:numPr>
      <w:spacing w:beforeLines="50" w:afterLines="50"/>
      <w:outlineLvl w:val="1"/>
    </w:pPr>
  </w:style>
  <w:style w:type="paragraph" w:customStyle="1" w:styleId="40">
    <w:name w:val="标准文件_正文公式"/>
    <w:basedOn w:val="1"/>
    <w:next w:val="41"/>
    <w:qFormat/>
    <w:uiPriority w:val="0"/>
    <w:pPr>
      <w:tabs>
        <w:tab w:val="center" w:pos="4678"/>
        <w:tab w:val="right" w:leader="middleDot" w:pos="9356"/>
      </w:tabs>
    </w:pPr>
    <w:rPr>
      <w:rFonts w:ascii="宋体" w:hAnsi="宋体"/>
    </w:rPr>
  </w:style>
  <w:style w:type="paragraph" w:customStyle="1" w:styleId="41">
    <w:name w:val="标准文件_标准正文"/>
    <w:basedOn w:val="1"/>
    <w:next w:val="35"/>
    <w:qFormat/>
    <w:uiPriority w:val="0"/>
    <w:pPr>
      <w:snapToGrid w:val="0"/>
      <w:ind w:firstLine="200"/>
    </w:pPr>
    <w:rPr>
      <w:kern w:val="0"/>
    </w:rPr>
  </w:style>
  <w:style w:type="paragraph" w:customStyle="1" w:styleId="42">
    <w:name w:val="标准文件_正文表标题"/>
    <w:next w:val="35"/>
    <w:qFormat/>
    <w:uiPriority w:val="0"/>
    <w:pPr>
      <w:numPr>
        <w:ilvl w:val="0"/>
        <w:numId w:val="9"/>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3">
    <w:name w:val="标准文件_表格"/>
    <w:basedOn w:val="35"/>
    <w:qFormat/>
    <w:uiPriority w:val="0"/>
    <w:pPr>
      <w:ind w:firstLine="0" w:firstLineChars="0"/>
      <w:jc w:val="center"/>
    </w:pPr>
    <w:rPr>
      <w:sz w:val="18"/>
    </w:rPr>
  </w:style>
  <w:style w:type="paragraph" w:customStyle="1" w:styleId="44">
    <w:name w:val="标准文件_一级项"/>
    <w:qFormat/>
    <w:uiPriority w:val="0"/>
    <w:pPr>
      <w:numPr>
        <w:ilvl w:val="0"/>
        <w:numId w:val="10"/>
      </w:numPr>
    </w:pPr>
    <w:rPr>
      <w:rFonts w:ascii="宋体" w:hAnsi="Times New Roman" w:eastAsia="宋体" w:cs="Times New Roman"/>
      <w:sz w:val="21"/>
      <w:lang w:val="en-US" w:eastAsia="zh-CN" w:bidi="ar-SA"/>
    </w:rPr>
  </w:style>
  <w:style w:type="paragraph" w:customStyle="1" w:styleId="45">
    <w:name w:val="List Paragraph1"/>
    <w:basedOn w:val="1"/>
    <w:qFormat/>
    <w:uiPriority w:val="0"/>
    <w:pPr>
      <w:ind w:firstLine="200"/>
    </w:pPr>
    <w:rPr>
      <w:szCs w:val="32"/>
    </w:rPr>
  </w:style>
  <w:style w:type="character" w:customStyle="1" w:styleId="46">
    <w:name w:val="15"/>
    <w:basedOn w:val="8"/>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28</Pages>
  <Words>5177</Words>
  <Characters>5424</Characters>
  <Lines>111</Lines>
  <Paragraphs>31</Paragraphs>
  <TotalTime>3</TotalTime>
  <ScaleCrop>false</ScaleCrop>
  <LinksUpToDate>false</LinksUpToDate>
  <CharactersWithSpaces>5470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2026-08-18T09:15:00Z</dcterms:created>
  <dc:creator>USER</dc:creator>
  <cp:lastModifiedBy>Better</cp:lastModifiedBy>
  <cp:lastPrinted>2026-06-22T03:49:00Z</cp:lastPrinted>
  <dcterms:modified xsi:type="dcterms:W3CDTF">2026-08-24T09:50:50Z</dcterms:modified>
  <dc:title>广西地方标准《脱氢枞酸》（征求意见稿）</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026CF76227104E619FBD98A8FEEC3623_13</vt:lpwstr>
  </property>
  <property fmtid="{D5CDD505-2E9C-101B-9397-08002B2CF9AE}" pid="4" name="KSOTemplateDocerSaveRecord">
    <vt:lpwstr>eyJoZGlkIjoiNjkyMTI5YmM0YzdhN2UwZWQ0YzkxMTQ1ZWZjNWYyZDYiLCJ1c2VySWQiOiIzMTg4MTI4NjAifQ==</vt:lpwstr>
  </property>
</Properties>
</file>